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41FD3" w:rsidRPr="00043A6B" w:rsidRDefault="00A21239" w:rsidP="00E10E51">
      <w:pPr>
        <w:spacing w:line="240" w:lineRule="auto"/>
        <w:jc w:val="center"/>
        <w:rPr>
          <w:rFonts w:ascii="Times New Roman" w:hAnsi="Times New Roman" w:cs="Times New Roman"/>
          <w:b/>
          <w:bCs/>
          <w:sz w:val="24"/>
          <w:szCs w:val="24"/>
        </w:rPr>
      </w:pPr>
      <w:r w:rsidRPr="00043A6B">
        <w:rPr>
          <w:rFonts w:ascii="Times New Roman" w:hAnsi="Times New Roman" w:cs="Times New Roman"/>
          <w:b/>
          <w:bCs/>
          <w:sz w:val="24"/>
          <w:szCs w:val="24"/>
        </w:rPr>
        <w:t>KRITIK TERHADAP HERMENEUTIKA DALAM TAFSIR AL-QUR'AN: PERSPEKTIF ULAMA TRADISIONAL DAN KONTEMPORER</w:t>
      </w:r>
    </w:p>
    <w:p w:rsidR="00E10E51" w:rsidRPr="00E10E51" w:rsidRDefault="00E10E51" w:rsidP="00E10E51">
      <w:pPr>
        <w:spacing w:line="240" w:lineRule="auto"/>
        <w:jc w:val="center"/>
        <w:rPr>
          <w:rFonts w:ascii="Times New Roman" w:hAnsi="Times New Roman" w:cs="Times New Roman"/>
          <w:b/>
          <w:bCs/>
          <w:sz w:val="32"/>
          <w:szCs w:val="32"/>
        </w:rPr>
      </w:pPr>
    </w:p>
    <w:p w:rsidR="009629CA" w:rsidRDefault="00E10E51" w:rsidP="00E10E5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Al Fiqri Ardiansyah</w:t>
      </w:r>
    </w:p>
    <w:p w:rsidR="00E10E51" w:rsidRDefault="00E10E51" w:rsidP="00E10E5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Universitas Islam Negeri </w:t>
      </w:r>
      <w:r w:rsidR="00CD2F1F">
        <w:rPr>
          <w:rFonts w:ascii="Times New Roman" w:hAnsi="Times New Roman" w:cs="Times New Roman"/>
          <w:sz w:val="24"/>
          <w:szCs w:val="24"/>
        </w:rPr>
        <w:t xml:space="preserve">Sumatera </w:t>
      </w:r>
      <w:r>
        <w:rPr>
          <w:rFonts w:ascii="Times New Roman" w:hAnsi="Times New Roman" w:cs="Times New Roman"/>
          <w:sz w:val="24"/>
          <w:szCs w:val="24"/>
        </w:rPr>
        <w:t>Utara</w:t>
      </w:r>
    </w:p>
    <w:p w:rsidR="00E10E51" w:rsidRDefault="00E10E51" w:rsidP="00E10E51">
      <w:pPr>
        <w:spacing w:after="0" w:line="240" w:lineRule="auto"/>
        <w:jc w:val="center"/>
        <w:rPr>
          <w:rFonts w:ascii="Times New Roman" w:hAnsi="Times New Roman" w:cs="Times New Roman"/>
          <w:sz w:val="24"/>
          <w:szCs w:val="24"/>
        </w:rPr>
      </w:pPr>
      <w:hyperlink r:id="rId8" w:history="1">
        <w:r w:rsidRPr="00822ACC">
          <w:rPr>
            <w:rStyle w:val="Hyperlink"/>
            <w:rFonts w:ascii="Times New Roman" w:hAnsi="Times New Roman" w:cs="Times New Roman"/>
            <w:sz w:val="24"/>
            <w:szCs w:val="24"/>
          </w:rPr>
          <w:t>fiqrial778@gmail.com</w:t>
        </w:r>
      </w:hyperlink>
    </w:p>
    <w:p w:rsidR="00E10E51" w:rsidRDefault="00E10E51" w:rsidP="00E10E51">
      <w:pPr>
        <w:spacing w:after="0" w:line="276" w:lineRule="auto"/>
        <w:jc w:val="center"/>
        <w:rPr>
          <w:rFonts w:ascii="Times New Roman" w:hAnsi="Times New Roman" w:cs="Times New Roman"/>
          <w:sz w:val="24"/>
          <w:szCs w:val="24"/>
        </w:rPr>
      </w:pPr>
    </w:p>
    <w:p w:rsidR="00A21239" w:rsidRPr="00E10E51" w:rsidRDefault="00A21239" w:rsidP="00E10E51">
      <w:pPr>
        <w:jc w:val="center"/>
        <w:rPr>
          <w:rFonts w:ascii="Times New Roman" w:hAnsi="Times New Roman" w:cs="Times New Roman"/>
          <w:b/>
          <w:bCs/>
          <w:sz w:val="24"/>
          <w:szCs w:val="24"/>
        </w:rPr>
      </w:pPr>
      <w:r w:rsidRPr="00E10E51">
        <w:rPr>
          <w:rFonts w:ascii="Times New Roman" w:hAnsi="Times New Roman" w:cs="Times New Roman"/>
          <w:b/>
          <w:bCs/>
          <w:sz w:val="24"/>
          <w:szCs w:val="24"/>
        </w:rPr>
        <w:t>Abstract</w:t>
      </w:r>
    </w:p>
    <w:p w:rsidR="00A21239" w:rsidRPr="00E10E51" w:rsidRDefault="00A21239" w:rsidP="00D60793">
      <w:pPr>
        <w:spacing w:line="240" w:lineRule="auto"/>
        <w:jc w:val="both"/>
        <w:rPr>
          <w:rFonts w:ascii="Times New Roman" w:hAnsi="Times New Roman" w:cs="Times New Roman"/>
          <w:i/>
          <w:iCs/>
          <w:sz w:val="20"/>
          <w:szCs w:val="20"/>
        </w:rPr>
      </w:pPr>
      <w:r w:rsidRPr="00E10E51">
        <w:rPr>
          <w:rFonts w:ascii="Times New Roman" w:hAnsi="Times New Roman" w:cs="Times New Roman"/>
          <w:i/>
          <w:iCs/>
          <w:sz w:val="20"/>
          <w:szCs w:val="20"/>
        </w:rPr>
        <w:t>This study discusses criticism of hermeneutics in Qur'anic exegesis from the perspective of traditional and contemporary scholars, with the aim of exploring the potential of an integrative approach between hermeneutics and ushul tafsir. Traditional scholars, such as Al-Suyuti and Ibn Taymiyyah, reject hermeneutics because it is considered contrary to Islamic epistemology based on revelation and sharia. In contrast, contemporary scholars, such as Fazlur Rahman and Nasr Hamid Abu Zayd, adopt a more contextual approach, although it is not free from controversy. This research uses qualitative methods with content and comparative analysis of primary and secondary texts, such as classical tafsir books (Tafsir al-Jalalayn, Al-Itqan fi Ulum al-Qur'an) and contemporary works (Islam and Modernity, Al-Nash wa al-Sultan). The research findings highlight the importance of an integrative approach that combines hermeneutical flexibility with the integrity of ushul tafsir principles. The research shows that this integration has the potential to produce tafsir methodologies that are more relevant and responsive to contemporary challenges without compromising the authority of the revealed text. Models such as Tafsir Maqasidi and Quraish Shihab's contextual approach are concrete examples of how this approach can be applied. This research makes an important contribution in enriching the discourse of Qur'anic interpretation in the modern era.</w:t>
      </w:r>
    </w:p>
    <w:p w:rsidR="00A21239" w:rsidRPr="00E10E51" w:rsidRDefault="00A21239" w:rsidP="00E10E51">
      <w:pPr>
        <w:spacing w:after="0" w:line="240" w:lineRule="auto"/>
        <w:jc w:val="both"/>
        <w:rPr>
          <w:rFonts w:ascii="Times New Roman" w:hAnsi="Times New Roman" w:cs="Times New Roman"/>
          <w:i/>
          <w:iCs/>
          <w:sz w:val="20"/>
          <w:szCs w:val="20"/>
        </w:rPr>
      </w:pPr>
      <w:r w:rsidRPr="00E10E51">
        <w:rPr>
          <w:rFonts w:ascii="Times New Roman" w:hAnsi="Times New Roman" w:cs="Times New Roman"/>
          <w:i/>
          <w:iCs/>
          <w:sz w:val="20"/>
          <w:szCs w:val="20"/>
        </w:rPr>
        <w:t>Keywords: Hermeneutics; Interpretation of the Qur'an; Ushul Tafsir; Epistemological Criticism; Integrative Approach.</w:t>
      </w:r>
    </w:p>
    <w:p w:rsidR="009629CA" w:rsidRPr="009629CA" w:rsidRDefault="009629CA" w:rsidP="00E10E51">
      <w:pPr>
        <w:jc w:val="center"/>
        <w:rPr>
          <w:rFonts w:ascii="Times New Roman" w:hAnsi="Times New Roman" w:cs="Times New Roman"/>
          <w:b/>
          <w:bCs/>
          <w:sz w:val="24"/>
          <w:szCs w:val="24"/>
        </w:rPr>
      </w:pPr>
      <w:r w:rsidRPr="009629CA">
        <w:rPr>
          <w:rFonts w:ascii="Times New Roman" w:hAnsi="Times New Roman" w:cs="Times New Roman"/>
          <w:b/>
          <w:bCs/>
          <w:sz w:val="24"/>
          <w:szCs w:val="24"/>
        </w:rPr>
        <w:t>Abstrak</w:t>
      </w:r>
    </w:p>
    <w:p w:rsidR="009629CA" w:rsidRPr="009629CA" w:rsidRDefault="009629CA" w:rsidP="00E10E51">
      <w:pPr>
        <w:spacing w:line="240" w:lineRule="auto"/>
        <w:ind w:firstLine="720"/>
        <w:jc w:val="both"/>
        <w:rPr>
          <w:rFonts w:ascii="Times New Roman" w:hAnsi="Times New Roman" w:cs="Times New Roman"/>
          <w:i/>
          <w:iCs/>
          <w:sz w:val="20"/>
          <w:szCs w:val="20"/>
        </w:rPr>
      </w:pPr>
      <w:r w:rsidRPr="009629CA">
        <w:rPr>
          <w:rFonts w:ascii="Times New Roman" w:hAnsi="Times New Roman" w:cs="Times New Roman"/>
          <w:i/>
          <w:iCs/>
          <w:sz w:val="20"/>
          <w:szCs w:val="20"/>
        </w:rPr>
        <w:t>Penelitian ini membahas kritik terhadap hermeneutika dalam tafsir Al-Qur'an dari perspektif ulama tradisional dan kontemporer, dengan tujuan mengeksplorasi potensi pendekatan integratif antara hermeneutika dan ushul tafsir. Ulama tradisional, seperti Al-Suyuti dan Ibn Taymiyyah, menolak hermeneutika karena dianggap bertentangan dengan epistemologi Islam yang berbasis wahyu dan syariat. Sebaliknya, ulama kontemporer, seperti Fazlur Rahman dan Nasr Hamid Abu Zayd, mengadopsi pendekatan yang lebih kontekstual, meskipun tidak terlepas dari kontroversi.</w:t>
      </w:r>
      <w:r w:rsidRPr="00E10E51">
        <w:rPr>
          <w:rFonts w:ascii="Times New Roman" w:hAnsi="Times New Roman" w:cs="Times New Roman"/>
          <w:i/>
          <w:iCs/>
          <w:sz w:val="20"/>
          <w:szCs w:val="20"/>
        </w:rPr>
        <w:t xml:space="preserve"> </w:t>
      </w:r>
      <w:r w:rsidRPr="009629CA">
        <w:rPr>
          <w:rFonts w:ascii="Times New Roman" w:hAnsi="Times New Roman" w:cs="Times New Roman"/>
          <w:i/>
          <w:iCs/>
          <w:sz w:val="20"/>
          <w:szCs w:val="20"/>
        </w:rPr>
        <w:t>Penelitian ini menggunakan metode kualitatif dengan analisis isi dan komparatif terhadap teks-teks primer dan sekunder, seperti kitab tafsir klasik (Tafsir al-Jalalayn, Al-Itqan fi Ulum al-Qur'an) dan karya kontemporer (Islam and Modernity, Al-Nash wa al-Sultan). Temuan penelitian menyoroti pentingnya pendekatan integratif yang menggabungkan fleksibilitas hermeneutika dengan keutuhan prinsip ushul tafsir.</w:t>
      </w:r>
      <w:r w:rsidRPr="00E10E51">
        <w:rPr>
          <w:rFonts w:ascii="Times New Roman" w:hAnsi="Times New Roman" w:cs="Times New Roman"/>
          <w:i/>
          <w:iCs/>
          <w:sz w:val="20"/>
          <w:szCs w:val="20"/>
        </w:rPr>
        <w:t xml:space="preserve"> P</w:t>
      </w:r>
      <w:r w:rsidRPr="009629CA">
        <w:rPr>
          <w:rFonts w:ascii="Times New Roman" w:hAnsi="Times New Roman" w:cs="Times New Roman"/>
          <w:i/>
          <w:iCs/>
          <w:sz w:val="20"/>
          <w:szCs w:val="20"/>
        </w:rPr>
        <w:t>enelitian menunjukkan bahwa integrasi ini berpotensi menghasilkan metodologi tafsir yang lebih relevan dan responsif terhadap tantangan kontemporer tanpa mengorbankan otoritas teks wahyu. Model seperti Tafsir Maqasidi dan pendekatan kontekstual Quraish Shihab menjadi contoh konkrit bagaimana pendekatan ini dapat diterapkan. Penelitian ini memberikan kontribusi penting dalam memperkaya wacana tafsir Al-Qur'an di era modern.</w:t>
      </w:r>
    </w:p>
    <w:p w:rsidR="009629CA" w:rsidRPr="00E41FD3" w:rsidRDefault="009629CA" w:rsidP="00E10E51">
      <w:pPr>
        <w:spacing w:line="240" w:lineRule="auto"/>
        <w:jc w:val="both"/>
        <w:rPr>
          <w:rFonts w:ascii="Times New Roman" w:hAnsi="Times New Roman" w:cs="Times New Roman"/>
          <w:i/>
          <w:iCs/>
          <w:sz w:val="20"/>
          <w:szCs w:val="20"/>
        </w:rPr>
      </w:pPr>
      <w:r w:rsidRPr="00E10E51">
        <w:rPr>
          <w:rFonts w:ascii="Times New Roman" w:hAnsi="Times New Roman" w:cs="Times New Roman"/>
          <w:i/>
          <w:iCs/>
          <w:sz w:val="20"/>
          <w:szCs w:val="20"/>
        </w:rPr>
        <w:t xml:space="preserve">Kata Kunci: </w:t>
      </w:r>
      <w:r w:rsidRPr="00E10E51">
        <w:rPr>
          <w:rFonts w:ascii="Times New Roman" w:hAnsi="Times New Roman" w:cs="Times New Roman"/>
          <w:i/>
          <w:iCs/>
          <w:sz w:val="20"/>
          <w:szCs w:val="20"/>
        </w:rPr>
        <w:t>Hermeneutika; Tafsir Al-Qur'an; Ushul Tafsir; Kritik Epistemologis; Pendekatan Integratif.</w:t>
      </w:r>
    </w:p>
    <w:p w:rsidR="001A4509" w:rsidRPr="00D60793" w:rsidRDefault="00D60793" w:rsidP="00D60793">
      <w:pPr>
        <w:jc w:val="both"/>
        <w:rPr>
          <w:rFonts w:ascii="Times New Roman" w:hAnsi="Times New Roman" w:cs="Times New Roman"/>
          <w:b/>
          <w:bCs/>
        </w:rPr>
      </w:pPr>
      <w:r w:rsidRPr="00D60793">
        <w:rPr>
          <w:rFonts w:ascii="Times New Roman" w:hAnsi="Times New Roman" w:cs="Times New Roman"/>
          <w:b/>
          <w:bCs/>
        </w:rPr>
        <w:t>Pendahuluan</w:t>
      </w:r>
    </w:p>
    <w:p w:rsidR="009629CA" w:rsidRPr="00D60793" w:rsidRDefault="001A4509" w:rsidP="00D60793">
      <w:pPr>
        <w:spacing w:line="276" w:lineRule="auto"/>
        <w:ind w:firstLine="720"/>
        <w:jc w:val="both"/>
        <w:rPr>
          <w:rFonts w:ascii="Times New Roman" w:hAnsi="Times New Roman" w:cs="Times New Roman"/>
        </w:rPr>
      </w:pPr>
      <w:r w:rsidRPr="001A4509">
        <w:rPr>
          <w:rFonts w:ascii="Times New Roman" w:hAnsi="Times New Roman" w:cs="Times New Roman"/>
        </w:rPr>
        <w:t>Hermeneutika, yang merupakan metodologi interpretasi teks dari tradisi Barat, telah memicu perdebatan yang signifikan dalam dunia keilmuan Islam, khususnya dalam konteks tafsir Al-Qur'an. Pendekatan ini menekankan pentingnya konteks</w:t>
      </w:r>
      <w:r w:rsidR="002F75D7" w:rsidRPr="00D60793">
        <w:rPr>
          <w:rFonts w:ascii="Times New Roman" w:hAnsi="Times New Roman" w:cs="Times New Roman"/>
        </w:rPr>
        <w:t xml:space="preserve"> </w:t>
      </w:r>
      <w:r w:rsidRPr="001A4509">
        <w:rPr>
          <w:rFonts w:ascii="Times New Roman" w:hAnsi="Times New Roman" w:cs="Times New Roman"/>
        </w:rPr>
        <w:t>baik historis, budaya, maupun ideologis</w:t>
      </w:r>
      <w:r w:rsidR="002F75D7" w:rsidRPr="00D60793">
        <w:rPr>
          <w:rFonts w:ascii="Times New Roman" w:hAnsi="Times New Roman" w:cs="Times New Roman"/>
        </w:rPr>
        <w:t xml:space="preserve"> </w:t>
      </w:r>
      <w:r w:rsidRPr="001A4509">
        <w:rPr>
          <w:rFonts w:ascii="Times New Roman" w:hAnsi="Times New Roman" w:cs="Times New Roman"/>
        </w:rPr>
        <w:t>dalam memahami sebuah teks, suatu pandangan yang sering dianggap bertentangan dengan prinsip-prinsip interpretasi Islam tradisional</w:t>
      </w:r>
      <w:r w:rsidR="00145ACF" w:rsidRPr="00D60793">
        <w:rPr>
          <w:rFonts w:ascii="Times New Roman" w:hAnsi="Times New Roman" w:cs="Times New Roman"/>
        </w:rPr>
        <w:t>.</w:t>
      </w:r>
      <w:r w:rsidR="00145ACF" w:rsidRPr="00D60793">
        <w:rPr>
          <w:rStyle w:val="FootnoteReference"/>
          <w:rFonts w:ascii="Times New Roman" w:hAnsi="Times New Roman" w:cs="Times New Roman"/>
        </w:rPr>
        <w:footnoteReference w:id="1"/>
      </w:r>
      <w:r w:rsidRPr="001A4509">
        <w:rPr>
          <w:rFonts w:ascii="Times New Roman" w:hAnsi="Times New Roman" w:cs="Times New Roman"/>
        </w:rPr>
        <w:t xml:space="preserve"> Para ulama tradisional, yang berpegang pada epistemologi klasik Islam, </w:t>
      </w:r>
      <w:r w:rsidRPr="001A4509">
        <w:rPr>
          <w:rFonts w:ascii="Times New Roman" w:hAnsi="Times New Roman" w:cs="Times New Roman"/>
        </w:rPr>
        <w:lastRenderedPageBreak/>
        <w:t>berpendapat bahwa tafsir Al-Qur'an harus sepenuhnya bersandar pada teks-teks fundamental seperti Al-Qur'an dan Hadis untuk menjaga kemurnian teologis. Hermeneutika, yang dipandang sebagai produk paradigma sekuler dan rasionalisme Barat, sering kali menimbulkan keraguan terkait kompatibilitasnya dengan tradisi interpretasi Islam.</w:t>
      </w:r>
      <w:r w:rsidR="00145ACF" w:rsidRPr="00D60793">
        <w:rPr>
          <w:rStyle w:val="FootnoteReference"/>
          <w:rFonts w:ascii="Times New Roman" w:hAnsi="Times New Roman" w:cs="Times New Roman"/>
        </w:rPr>
        <w:footnoteReference w:id="2"/>
      </w:r>
      <w:r w:rsidRPr="001A4509">
        <w:rPr>
          <w:rFonts w:ascii="Times New Roman" w:hAnsi="Times New Roman" w:cs="Times New Roman"/>
        </w:rPr>
        <w:t xml:space="preserve"> Perdebatan ini mencerminkan tantangan yang lebih luas antara menjaga metodologi klasik dan merespons tantangan intelektual modern.</w:t>
      </w:r>
    </w:p>
    <w:p w:rsidR="0087710D" w:rsidRPr="00D60793" w:rsidRDefault="001A4509" w:rsidP="00D60793">
      <w:pPr>
        <w:spacing w:line="276" w:lineRule="auto"/>
        <w:ind w:firstLine="720"/>
        <w:jc w:val="both"/>
        <w:rPr>
          <w:rFonts w:ascii="Times New Roman" w:hAnsi="Times New Roman" w:cs="Times New Roman"/>
        </w:rPr>
      </w:pPr>
      <w:r w:rsidRPr="001A4509">
        <w:rPr>
          <w:rFonts w:ascii="Times New Roman" w:hAnsi="Times New Roman" w:cs="Times New Roman"/>
        </w:rPr>
        <w:t>Sebaliknya, kalangan ulama kontemporer berupaya mengadaptasi hermeneutika secara lebih bijaksana, mengeksplorasi potensinya dalam memperkaya tafsir Al-Qur'an tanpa meninggalkan prinsip-prinsip dasar Islam. Ulama seperti Fazlur Rahman menganjurkan pendekatan yang sensitif terhadap konteks, sementara Nasr Hamid Abu Zayd menggunakan hermeneutika untuk mengkritik tafsir-tafsir tradisional, yang memunculkan dukungan sekaligus kontroversi.</w:t>
      </w:r>
      <w:r w:rsidR="00145ACF" w:rsidRPr="00D60793">
        <w:rPr>
          <w:rStyle w:val="FootnoteReference"/>
          <w:rFonts w:ascii="Times New Roman" w:hAnsi="Times New Roman" w:cs="Times New Roman"/>
        </w:rPr>
        <w:footnoteReference w:id="3"/>
      </w:r>
      <w:r w:rsidR="00145ACF" w:rsidRPr="00D60793">
        <w:rPr>
          <w:rStyle w:val="FootnoteReference"/>
          <w:rFonts w:ascii="Times New Roman" w:hAnsi="Times New Roman" w:cs="Times New Roman"/>
        </w:rPr>
        <w:footnoteReference w:id="4"/>
      </w:r>
      <w:r w:rsidRPr="001A4509">
        <w:rPr>
          <w:rFonts w:ascii="Times New Roman" w:hAnsi="Times New Roman" w:cs="Times New Roman"/>
        </w:rPr>
        <w:t xml:space="preserve"> Dinamika ini mendorong kebutuhan akan metodologi integratif yang dapat menjembatani perbedaan pendekatan tersebut, mencerminkan perkembangan keilmuan Islam dalam arus pemikiran modern.</w:t>
      </w:r>
      <w:r w:rsidR="00145ACF" w:rsidRPr="00D60793">
        <w:rPr>
          <w:rStyle w:val="FootnoteReference"/>
          <w:rFonts w:ascii="Times New Roman" w:hAnsi="Times New Roman" w:cs="Times New Roman"/>
        </w:rPr>
        <w:footnoteReference w:id="5"/>
      </w:r>
    </w:p>
    <w:p w:rsidR="0087710D" w:rsidRPr="00D60793" w:rsidRDefault="001A4509" w:rsidP="00D60793">
      <w:pPr>
        <w:spacing w:line="276" w:lineRule="auto"/>
        <w:ind w:firstLine="720"/>
        <w:jc w:val="both"/>
        <w:rPr>
          <w:rFonts w:ascii="Times New Roman" w:hAnsi="Times New Roman" w:cs="Times New Roman"/>
        </w:rPr>
      </w:pPr>
      <w:r w:rsidRPr="001A4509">
        <w:rPr>
          <w:rFonts w:ascii="Times New Roman" w:hAnsi="Times New Roman" w:cs="Times New Roman"/>
        </w:rPr>
        <w:t>Penggunaan hermeneutika dalam tafsir Al-Qur'an menimbulkan permasalahan serius terkait keselarasan metode ini dengan epistemologi Islam. Para ulama tradisional mengkritik hermeneutika sebagai pendekatan yang tidak sejalan dengan prinsip Islam karena bersandar pada rasionalisme Barat yang sekuler, yang dinilai dapat mengurangi sifat ilahiah Al-Qur'an.</w:t>
      </w:r>
      <w:r w:rsidR="00145ACF" w:rsidRPr="00D60793">
        <w:rPr>
          <w:rStyle w:val="FootnoteReference"/>
          <w:rFonts w:ascii="Times New Roman" w:hAnsi="Times New Roman" w:cs="Times New Roman"/>
        </w:rPr>
        <w:footnoteReference w:id="6"/>
      </w:r>
      <w:r w:rsidRPr="001A4509">
        <w:rPr>
          <w:rFonts w:ascii="Times New Roman" w:hAnsi="Times New Roman" w:cs="Times New Roman"/>
        </w:rPr>
        <w:t xml:space="preserve"> Hal ini menimbulkan pertanyaan mendasar: dapatkah hermeneutika yang berasal dari tradisi sekuler direkonsiliasi dengan dimensi sakral dari keilmuan Islam? Selain itu, ketiadaan kerangka kerja integratif untuk mendamaikan perbedaan antara pandangan tradisionalis dan kontemporer semakin memperumit diskursus ini.</w:t>
      </w:r>
    </w:p>
    <w:p w:rsidR="0087710D" w:rsidRPr="00D60793" w:rsidRDefault="001A4509" w:rsidP="00D60793">
      <w:pPr>
        <w:spacing w:line="276" w:lineRule="auto"/>
        <w:ind w:firstLine="720"/>
        <w:jc w:val="both"/>
        <w:rPr>
          <w:rFonts w:ascii="Times New Roman" w:hAnsi="Times New Roman" w:cs="Times New Roman"/>
        </w:rPr>
      </w:pPr>
      <w:r w:rsidRPr="001A4509">
        <w:rPr>
          <w:rFonts w:ascii="Times New Roman" w:hAnsi="Times New Roman" w:cs="Times New Roman"/>
        </w:rPr>
        <w:t>Solusi untuk permasalahan ini terletak pada pengembangan metodologi yang mengintegrasikan wawasan kritis hermeneutika dengan landasan epistemologi Islam. Dengan memanfaatkan kekuatan kedua paradigma, para sarjana dapat membangun pendekatan yang lebih inklusif untuk tafsir Al-Qur'an, yang mengakui konteks historis dan budaya tanpa mengorbankan integritas teologis.</w:t>
      </w:r>
      <w:r w:rsidR="00145ACF" w:rsidRPr="00D60793">
        <w:rPr>
          <w:rStyle w:val="FootnoteReference"/>
          <w:rFonts w:ascii="Times New Roman" w:hAnsi="Times New Roman" w:cs="Times New Roman"/>
        </w:rPr>
        <w:footnoteReference w:id="7"/>
      </w:r>
      <w:r w:rsidRPr="001A4509">
        <w:rPr>
          <w:rFonts w:ascii="Times New Roman" w:hAnsi="Times New Roman" w:cs="Times New Roman"/>
        </w:rPr>
        <w:t xml:space="preserve"> Penelitian ini bertujuan untuk mengisi kekosongan ini dengan membandingkan secara sistematis kritik dari ulama tradisional dan kontemporer, mengidentifikasi area persamaan dan perbedaan, serta menawarkan kerangka kerja integratif.</w:t>
      </w:r>
    </w:p>
    <w:p w:rsidR="002F75D7" w:rsidRPr="00D60793" w:rsidRDefault="001A4509" w:rsidP="00D60793">
      <w:pPr>
        <w:spacing w:line="276" w:lineRule="auto"/>
        <w:ind w:firstLine="720"/>
        <w:jc w:val="both"/>
        <w:rPr>
          <w:rFonts w:ascii="Times New Roman" w:hAnsi="Times New Roman" w:cs="Times New Roman"/>
        </w:rPr>
      </w:pPr>
      <w:r w:rsidRPr="001A4509">
        <w:rPr>
          <w:rFonts w:ascii="Times New Roman" w:hAnsi="Times New Roman" w:cs="Times New Roman"/>
        </w:rPr>
        <w:t xml:space="preserve">Ulama tradisional seperti al-Suyuti dan Ibn Kathir menekankan pentingnya ilmu-ilmu klasik Islam dan menyatakan bahwa hermeneutika, dengan asal-usulnya yang sekuler, menyimpang dari petunjuk ilahiah Al-Qur'an. Karya-karya seperti </w:t>
      </w:r>
      <w:r w:rsidRPr="001A4509">
        <w:rPr>
          <w:rFonts w:ascii="Times New Roman" w:hAnsi="Times New Roman" w:cs="Times New Roman"/>
          <w:i/>
          <w:iCs/>
        </w:rPr>
        <w:t>Al-Itqan fi Ulum al-Qur'an</w:t>
      </w:r>
      <w:r w:rsidRPr="001A4509">
        <w:rPr>
          <w:rFonts w:ascii="Times New Roman" w:hAnsi="Times New Roman" w:cs="Times New Roman"/>
        </w:rPr>
        <w:t xml:space="preserve"> menegaskan metodologi tafsir yang berakar pada </w:t>
      </w:r>
      <w:r w:rsidRPr="001A4509">
        <w:rPr>
          <w:rFonts w:ascii="Times New Roman" w:hAnsi="Times New Roman" w:cs="Times New Roman"/>
          <w:i/>
          <w:iCs/>
        </w:rPr>
        <w:t>usūl al-fiqh</w:t>
      </w:r>
      <w:r w:rsidRPr="001A4509">
        <w:rPr>
          <w:rFonts w:ascii="Times New Roman" w:hAnsi="Times New Roman" w:cs="Times New Roman"/>
        </w:rPr>
        <w:t xml:space="preserve"> dan prinsip-prinsip epistemologi klasik. Pendekatan ini mengkritik hermeneutika karena dianggap lebih mengutamakan akal manusia dibandingkan wahyu ilahi, yang berpotensi menghasilkan interpretasi yang tidak sesuai dengan teologi Islam.</w:t>
      </w:r>
    </w:p>
    <w:p w:rsidR="002F75D7" w:rsidRPr="00D60793" w:rsidRDefault="001A4509" w:rsidP="00D60793">
      <w:pPr>
        <w:spacing w:line="276" w:lineRule="auto"/>
        <w:ind w:firstLine="720"/>
        <w:jc w:val="both"/>
        <w:rPr>
          <w:rFonts w:ascii="Times New Roman" w:hAnsi="Times New Roman" w:cs="Times New Roman"/>
        </w:rPr>
      </w:pPr>
      <w:r w:rsidRPr="001A4509">
        <w:rPr>
          <w:rFonts w:ascii="Times New Roman" w:hAnsi="Times New Roman" w:cs="Times New Roman"/>
        </w:rPr>
        <w:t xml:space="preserve">Sebaliknya, ulama kontemporer seperti Fazlur Rahman mengusulkan pendekatan tafsir Al-Qur'an yang kontekstual, menggunakan hermeneutika untuk menjembatani kesenjangan antara tafsir </w:t>
      </w:r>
      <w:r w:rsidRPr="001A4509">
        <w:rPr>
          <w:rFonts w:ascii="Times New Roman" w:hAnsi="Times New Roman" w:cs="Times New Roman"/>
        </w:rPr>
        <w:lastRenderedPageBreak/>
        <w:t>klasik dan tantangan modern.</w:t>
      </w:r>
      <w:r w:rsidR="00145ACF" w:rsidRPr="00D60793">
        <w:rPr>
          <w:rStyle w:val="FootnoteReference"/>
          <w:rFonts w:ascii="Times New Roman" w:hAnsi="Times New Roman" w:cs="Times New Roman"/>
        </w:rPr>
        <w:footnoteReference w:id="8"/>
      </w:r>
      <w:r w:rsidRPr="001A4509">
        <w:rPr>
          <w:rFonts w:ascii="Times New Roman" w:hAnsi="Times New Roman" w:cs="Times New Roman"/>
        </w:rPr>
        <w:t xml:space="preserve"> Teori </w:t>
      </w:r>
      <w:r w:rsidRPr="001A4509">
        <w:rPr>
          <w:rFonts w:ascii="Times New Roman" w:hAnsi="Times New Roman" w:cs="Times New Roman"/>
          <w:i/>
          <w:iCs/>
        </w:rPr>
        <w:t>double movement</w:t>
      </w:r>
      <w:r w:rsidRPr="001A4509">
        <w:rPr>
          <w:rFonts w:ascii="Times New Roman" w:hAnsi="Times New Roman" w:cs="Times New Roman"/>
        </w:rPr>
        <w:t xml:space="preserve"> Rahman, misalnya, mengintegrasikan analisis konteks dengan kesetiaan pada teks, menawarkan model interpretasi yang relevan dengan isu-isu kontemporer. Nasr Hamid Abu Zayd juga menggunakan hermeneutika untuk mengkritik tafsir tradisional, dengan menekankan realitas sosial-politik, meskipun pendekatannya mendapat kritik keras karena dianggap melemahkan kesakralan Al-Qur'an.</w:t>
      </w:r>
      <w:r w:rsidR="00145ACF" w:rsidRPr="00D60793">
        <w:rPr>
          <w:rStyle w:val="FootnoteReference"/>
          <w:rFonts w:ascii="Times New Roman" w:hAnsi="Times New Roman" w:cs="Times New Roman"/>
        </w:rPr>
        <w:footnoteReference w:id="9"/>
      </w:r>
    </w:p>
    <w:p w:rsidR="002F75D7" w:rsidRPr="00D60793" w:rsidRDefault="001A4509" w:rsidP="00D60793">
      <w:pPr>
        <w:spacing w:line="276" w:lineRule="auto"/>
        <w:ind w:firstLine="720"/>
        <w:jc w:val="both"/>
        <w:rPr>
          <w:rFonts w:ascii="Times New Roman" w:hAnsi="Times New Roman" w:cs="Times New Roman"/>
        </w:rPr>
      </w:pPr>
      <w:r w:rsidRPr="001A4509">
        <w:rPr>
          <w:rFonts w:ascii="Times New Roman" w:hAnsi="Times New Roman" w:cs="Times New Roman"/>
        </w:rPr>
        <w:t>Literatur menunjukkan bahwa integrasi epistemologi Islam dengan prinsip-prinsip hermeneutika tertentu dapat menghasilkan kerangka kerja tafsir yang seimbang. Pendekatan ini mengakui dimensi kontekstual Al-Qur'an sambil menjaga status ilahiahnya, sejalan dengan seruan untuk pluralisme metodologis dalam keilmuan Islam.</w:t>
      </w:r>
      <w:r w:rsidR="00145ACF" w:rsidRPr="00D60793">
        <w:rPr>
          <w:rStyle w:val="FootnoteReference"/>
          <w:rFonts w:ascii="Times New Roman" w:hAnsi="Times New Roman" w:cs="Times New Roman"/>
        </w:rPr>
        <w:footnoteReference w:id="10"/>
      </w:r>
      <w:r w:rsidRPr="001A4509">
        <w:rPr>
          <w:rFonts w:ascii="Times New Roman" w:hAnsi="Times New Roman" w:cs="Times New Roman"/>
        </w:rPr>
        <w:t xml:space="preserve"> Sinergi perspektif ini menawarkan jalan yang menjanjikan untuk menyelesaikan ketegangan antara tradisi dan modernitas dalam tafsir Al-Qur'an.</w:t>
      </w:r>
    </w:p>
    <w:p w:rsidR="002F75D7" w:rsidRPr="00D60793" w:rsidRDefault="001A4509" w:rsidP="00D60793">
      <w:pPr>
        <w:spacing w:line="276" w:lineRule="auto"/>
        <w:ind w:firstLine="720"/>
        <w:jc w:val="both"/>
        <w:rPr>
          <w:rFonts w:ascii="Times New Roman" w:hAnsi="Times New Roman" w:cs="Times New Roman"/>
        </w:rPr>
      </w:pPr>
      <w:r w:rsidRPr="001A4509">
        <w:rPr>
          <w:rFonts w:ascii="Times New Roman" w:hAnsi="Times New Roman" w:cs="Times New Roman"/>
        </w:rPr>
        <w:t>Meski keilmuan Islam memiliki kekayaan yang melimpah, terdapat kesenjangan kritis dalam membandingkan secara eksplisit kritik terhadap hermeneutika oleh ulama tradisional dan kontemporer. Studi yang ada sering kali hanya berfokus pada satu perspektif, sehingga kurang mengeksplorasi interaksi kompleks antara pendekatan-pendekatan tersebut (Takim, 2021). Misalnya, kritik al-Suyuti dan Ibn Kathir menyoroti risiko teologis hermeneutika, tetapi kurang mengeksplorasi kontribusi analitisnya. Sebaliknya, tokoh seperti Fazlur Rahman dan Abu Zayd mengeksplorasi penerapan hermeneutika, tetapi kurang memperhatikan implikasi epistemologisnya.</w:t>
      </w:r>
      <w:r w:rsidR="00145ACF" w:rsidRPr="00D60793">
        <w:rPr>
          <w:rStyle w:val="FootnoteReference"/>
          <w:rFonts w:ascii="Times New Roman" w:hAnsi="Times New Roman" w:cs="Times New Roman"/>
        </w:rPr>
        <w:footnoteReference w:id="11"/>
      </w:r>
    </w:p>
    <w:p w:rsidR="002F75D7" w:rsidRPr="00D60793" w:rsidRDefault="001A4509" w:rsidP="00D60793">
      <w:pPr>
        <w:spacing w:line="276" w:lineRule="auto"/>
        <w:ind w:firstLine="720"/>
        <w:jc w:val="both"/>
        <w:rPr>
          <w:rFonts w:ascii="Times New Roman" w:hAnsi="Times New Roman" w:cs="Times New Roman"/>
        </w:rPr>
      </w:pPr>
      <w:r w:rsidRPr="001A4509">
        <w:rPr>
          <w:rFonts w:ascii="Times New Roman" w:hAnsi="Times New Roman" w:cs="Times New Roman"/>
        </w:rPr>
        <w:t>Selain itu, masih sedikit penelitian yang mendalami bagaimana hermeneutika dapat diadaptasi dalam kerangka epistemologi Islam untuk menjawab tantangan kontemporer. Kesenjangan ini khususnya terlihat dalam kurangnya sintesis metodologi yang mengintegrasikan analisis historis, linguistik, dan relevansi kontemporer dengan prinsip-prinsip Islam tradisional.</w:t>
      </w:r>
      <w:r w:rsidR="004053B4" w:rsidRPr="00D60793">
        <w:rPr>
          <w:rStyle w:val="FootnoteReference"/>
          <w:rFonts w:ascii="Times New Roman" w:hAnsi="Times New Roman" w:cs="Times New Roman"/>
        </w:rPr>
        <w:footnoteReference w:id="12"/>
      </w:r>
      <w:r w:rsidRPr="001A4509">
        <w:rPr>
          <w:rFonts w:ascii="Times New Roman" w:hAnsi="Times New Roman" w:cs="Times New Roman"/>
        </w:rPr>
        <w:t xml:space="preserve"> Kekurangan ini menekankan perlunya kajian komprehensif yang dapat mendamaikan pendekatan-pendekatan berbeda ini sambil tetap menghormati kesakralan teologi Al-Qur'an.</w:t>
      </w:r>
    </w:p>
    <w:p w:rsidR="002F75D7" w:rsidRPr="00D60793" w:rsidRDefault="001A4509" w:rsidP="00D60793">
      <w:pPr>
        <w:spacing w:line="276" w:lineRule="auto"/>
        <w:ind w:firstLine="720"/>
        <w:jc w:val="both"/>
        <w:rPr>
          <w:rFonts w:ascii="Times New Roman" w:hAnsi="Times New Roman" w:cs="Times New Roman"/>
        </w:rPr>
      </w:pPr>
      <w:r w:rsidRPr="001A4509">
        <w:rPr>
          <w:rFonts w:ascii="Times New Roman" w:hAnsi="Times New Roman" w:cs="Times New Roman"/>
        </w:rPr>
        <w:t>Penelitian ini bertujuan untuk menganalisis dan membandingkan secara kritis perspektif ulama tradisional dan kontemporer terhadap penerapan hermeneutika dalam tafsir Al-Qur'an. Dengan mengkaji argumen kedua kelompok, penelitian ini berupaya mengidentifikasi area persamaan dan perbedaan, serta menawarkan kerangka kerja integratif yang menyelaraskan hermeneutika dengan epistemologi Islam. Kebaruan penelitian ini terletak pada pendekatan sistematis dalam membandingkan kritik tradisionalis dan adaptasi kontemporer, yang mengisi kesenjangan dalam literatur yang ada serta berkontribusi pada pengembangan metodologi tafsir yang lebih komprehensif.</w:t>
      </w:r>
    </w:p>
    <w:p w:rsidR="00D60793" w:rsidRDefault="001A4509" w:rsidP="00D60793">
      <w:pPr>
        <w:spacing w:line="276" w:lineRule="auto"/>
        <w:ind w:firstLine="720"/>
        <w:jc w:val="both"/>
        <w:rPr>
          <w:rFonts w:ascii="Times New Roman" w:hAnsi="Times New Roman" w:cs="Times New Roman"/>
          <w:sz w:val="24"/>
          <w:szCs w:val="24"/>
        </w:rPr>
      </w:pPr>
      <w:r w:rsidRPr="001A4509">
        <w:rPr>
          <w:rFonts w:ascii="Times New Roman" w:hAnsi="Times New Roman" w:cs="Times New Roman"/>
        </w:rPr>
        <w:t xml:space="preserve">Ruang lingkup penelitian meliputi kritik mendasar terhadap hermeneutika oleh ulama tradisional, seperti dalam karya </w:t>
      </w:r>
      <w:r w:rsidRPr="001A4509">
        <w:rPr>
          <w:rFonts w:ascii="Times New Roman" w:hAnsi="Times New Roman" w:cs="Times New Roman"/>
          <w:i/>
          <w:iCs/>
        </w:rPr>
        <w:t>Al-Itqan fi Ulum al-Qur'an</w:t>
      </w:r>
      <w:r w:rsidRPr="001A4509">
        <w:rPr>
          <w:rFonts w:ascii="Times New Roman" w:hAnsi="Times New Roman" w:cs="Times New Roman"/>
        </w:rPr>
        <w:t>, serta metodologi adaptif yang diusulkan oleh tokoh kontemporer seperti Fazlur Rahman dan Abu Zayd. Penelitian ini juga mengeksplorasi potensi integrasi kedua perspektif tersebut dalam pendekatan tafsir Al-Qur'an yang menghormati dimensi sakralnya sekaligus merespons realitas kontekstual dunia modern.</w:t>
      </w:r>
    </w:p>
    <w:p w:rsidR="009629CA" w:rsidRPr="00D60793" w:rsidRDefault="009629CA" w:rsidP="00D60793">
      <w:pPr>
        <w:spacing w:line="276" w:lineRule="auto"/>
        <w:jc w:val="both"/>
        <w:rPr>
          <w:rFonts w:ascii="Times New Roman" w:hAnsi="Times New Roman" w:cs="Times New Roman"/>
        </w:rPr>
      </w:pPr>
      <w:r w:rsidRPr="00D60793">
        <w:rPr>
          <w:rFonts w:ascii="Times New Roman" w:hAnsi="Times New Roman" w:cs="Times New Roman"/>
          <w:b/>
          <w:bCs/>
        </w:rPr>
        <w:lastRenderedPageBreak/>
        <w:t>Metode Penelitian</w:t>
      </w:r>
    </w:p>
    <w:p w:rsidR="002F75D7" w:rsidRPr="00D60793" w:rsidRDefault="009629CA" w:rsidP="00D60793">
      <w:pPr>
        <w:spacing w:line="276" w:lineRule="auto"/>
        <w:ind w:firstLine="720"/>
        <w:jc w:val="both"/>
        <w:rPr>
          <w:rFonts w:ascii="Times New Roman" w:hAnsi="Times New Roman" w:cs="Times New Roman"/>
        </w:rPr>
      </w:pPr>
      <w:r w:rsidRPr="00D60793">
        <w:rPr>
          <w:rFonts w:ascii="Times New Roman" w:hAnsi="Times New Roman" w:cs="Times New Roman"/>
        </w:rPr>
        <w:t>Penelitian ini menggunakan metode kualitatif dengan</w:t>
      </w:r>
      <w:r w:rsidRPr="009629CA">
        <w:rPr>
          <w:rFonts w:ascii="Times New Roman" w:hAnsi="Times New Roman" w:cs="Times New Roman"/>
        </w:rPr>
        <w:t xml:space="preserve"> mengandalkan sumber data primer dan sekunder untuk menggali kritik terhadap hermeneutika dalam tafsir Al-Qur'an. Sumber primer meliputi kitab tafsir klasik seperti </w:t>
      </w:r>
      <w:r w:rsidRPr="009629CA">
        <w:rPr>
          <w:rFonts w:ascii="Times New Roman" w:hAnsi="Times New Roman" w:cs="Times New Roman"/>
          <w:i/>
          <w:iCs/>
        </w:rPr>
        <w:t>Tafsir al-Jalalayn</w:t>
      </w:r>
      <w:r w:rsidRPr="009629CA">
        <w:rPr>
          <w:rFonts w:ascii="Times New Roman" w:hAnsi="Times New Roman" w:cs="Times New Roman"/>
        </w:rPr>
        <w:t xml:space="preserve"> oleh Jalaluddin al-Mahalli dan Jalaluddin al-Suyuti, yang menekankan penguasaan bahasa Arab klasik sebagai dasar interpretasi wahyu. Selain itu, </w:t>
      </w:r>
      <w:r w:rsidRPr="009629CA">
        <w:rPr>
          <w:rFonts w:ascii="Times New Roman" w:hAnsi="Times New Roman" w:cs="Times New Roman"/>
          <w:i/>
          <w:iCs/>
        </w:rPr>
        <w:t>Tafsir al-Mazhari</w:t>
      </w:r>
      <w:r w:rsidRPr="009629CA">
        <w:rPr>
          <w:rFonts w:ascii="Times New Roman" w:hAnsi="Times New Roman" w:cs="Times New Roman"/>
        </w:rPr>
        <w:t xml:space="preserve"> karya Qadi Thanaullah Panipati menjadi referensi penting karena mengintegrasikan sensitivitas sosial tanpa mengabaikan prinsip syariat. Untuk menelaah perspektif modern, digunakan karya seperti </w:t>
      </w:r>
      <w:r w:rsidRPr="009629CA">
        <w:rPr>
          <w:rFonts w:ascii="Times New Roman" w:hAnsi="Times New Roman" w:cs="Times New Roman"/>
          <w:i/>
          <w:iCs/>
        </w:rPr>
        <w:t>Islam and Modernity</w:t>
      </w:r>
      <w:r w:rsidRPr="009629CA">
        <w:rPr>
          <w:rFonts w:ascii="Times New Roman" w:hAnsi="Times New Roman" w:cs="Times New Roman"/>
        </w:rPr>
        <w:t xml:space="preserve"> oleh Fazlur Rahman, yang mengembangkan metode </w:t>
      </w:r>
      <w:r w:rsidRPr="009629CA">
        <w:rPr>
          <w:rFonts w:ascii="Times New Roman" w:hAnsi="Times New Roman" w:cs="Times New Roman"/>
          <w:i/>
          <w:iCs/>
        </w:rPr>
        <w:t>double movement</w:t>
      </w:r>
      <w:r w:rsidRPr="009629CA">
        <w:rPr>
          <w:rFonts w:ascii="Times New Roman" w:hAnsi="Times New Roman" w:cs="Times New Roman"/>
        </w:rPr>
        <w:t xml:space="preserve">, dan </w:t>
      </w:r>
      <w:r w:rsidRPr="009629CA">
        <w:rPr>
          <w:rFonts w:ascii="Times New Roman" w:hAnsi="Times New Roman" w:cs="Times New Roman"/>
          <w:i/>
          <w:iCs/>
        </w:rPr>
        <w:t>Al-Nash wa al-Sultan</w:t>
      </w:r>
      <w:r w:rsidRPr="009629CA">
        <w:rPr>
          <w:rFonts w:ascii="Times New Roman" w:hAnsi="Times New Roman" w:cs="Times New Roman"/>
        </w:rPr>
        <w:t xml:space="preserve"> oleh Nasr Hamid Abu Zayd, yang menyoroti pentingnya konteks historis dalam interpretasi teks. Data sekunder mencakup literatur terkait epistemologi Islam, artikel jurnal, dan buku seperti </w:t>
      </w:r>
      <w:r w:rsidRPr="009629CA">
        <w:rPr>
          <w:rFonts w:ascii="Times New Roman" w:hAnsi="Times New Roman" w:cs="Times New Roman"/>
          <w:i/>
          <w:iCs/>
        </w:rPr>
        <w:t>Contemporary Issues in Islam and Science</w:t>
      </w:r>
      <w:r w:rsidRPr="009629CA">
        <w:rPr>
          <w:rFonts w:ascii="Times New Roman" w:hAnsi="Times New Roman" w:cs="Times New Roman"/>
        </w:rPr>
        <w:t xml:space="preserve"> oleh Ziauddin Sardar, yang mendiskusikan relevansi Al-Qur'an dalam konteks ilmu pengetahuan modern.</w:t>
      </w:r>
    </w:p>
    <w:p w:rsidR="002F75D7" w:rsidRPr="00D60793" w:rsidRDefault="009629CA" w:rsidP="00D60793">
      <w:pPr>
        <w:spacing w:line="276" w:lineRule="auto"/>
        <w:ind w:firstLine="720"/>
        <w:jc w:val="both"/>
        <w:rPr>
          <w:rFonts w:ascii="Times New Roman" w:hAnsi="Times New Roman" w:cs="Times New Roman"/>
        </w:rPr>
      </w:pPr>
      <w:r w:rsidRPr="009629CA">
        <w:rPr>
          <w:rFonts w:ascii="Times New Roman" w:hAnsi="Times New Roman" w:cs="Times New Roman"/>
        </w:rPr>
        <w:t>Sebagai penelitian kepustakaan (</w:t>
      </w:r>
      <w:r w:rsidRPr="009629CA">
        <w:rPr>
          <w:rFonts w:ascii="Times New Roman" w:hAnsi="Times New Roman" w:cs="Times New Roman"/>
          <w:i/>
          <w:iCs/>
        </w:rPr>
        <w:t>library research</w:t>
      </w:r>
      <w:r w:rsidRPr="009629CA">
        <w:rPr>
          <w:rFonts w:ascii="Times New Roman" w:hAnsi="Times New Roman" w:cs="Times New Roman"/>
        </w:rPr>
        <w:t xml:space="preserve">), proses pengumpulan data diawali dengan identifikasi teks-teks primer dan sekunder. Kitab tafsir klasik, seperti </w:t>
      </w:r>
      <w:r w:rsidRPr="009629CA">
        <w:rPr>
          <w:rFonts w:ascii="Times New Roman" w:hAnsi="Times New Roman" w:cs="Times New Roman"/>
          <w:i/>
          <w:iCs/>
        </w:rPr>
        <w:t>Al-Itqan fi Ulum al-Qur'an</w:t>
      </w:r>
      <w:r w:rsidRPr="009629CA">
        <w:rPr>
          <w:rFonts w:ascii="Times New Roman" w:hAnsi="Times New Roman" w:cs="Times New Roman"/>
        </w:rPr>
        <w:t xml:space="preserve"> oleh Al-Suyuti, dianalisis untuk menggali kritik tradisional terhadap hermeneutika. Sumber sekunder berupa artikel jurnal dan literatur modern juga dikumpulkan untuk memahami bagaimana metode hermeneutika diterapkan dalam tafsir kontemporer. Selanjutnya, data-data ini dikelompokkan berdasarkan tema, seperti kritik epistemologis dan normatif, untuk memudahkan analisis mendalam. Teks-teks yang relevan kemudian diorganisasikan secara sistematis, misalnya dengan memisahkan pandangan Fazlur Rahman mengenai historisitas teks dari pendekatan kritis Nasr Hamid Abu Zayd.</w:t>
      </w:r>
    </w:p>
    <w:p w:rsidR="002F75D7" w:rsidRPr="00D60793" w:rsidRDefault="009629CA" w:rsidP="00D60793">
      <w:pPr>
        <w:spacing w:line="276" w:lineRule="auto"/>
        <w:ind w:firstLine="720"/>
        <w:jc w:val="both"/>
        <w:rPr>
          <w:rFonts w:ascii="Times New Roman" w:hAnsi="Times New Roman" w:cs="Times New Roman"/>
        </w:rPr>
      </w:pPr>
      <w:r w:rsidRPr="009629CA">
        <w:rPr>
          <w:rFonts w:ascii="Times New Roman" w:hAnsi="Times New Roman" w:cs="Times New Roman"/>
        </w:rPr>
        <w:t>Penelitian ini menggunakan tiga teknik analisis utama. Pertama, metode analisis isi (</w:t>
      </w:r>
      <w:r w:rsidRPr="009629CA">
        <w:rPr>
          <w:rFonts w:ascii="Times New Roman" w:hAnsi="Times New Roman" w:cs="Times New Roman"/>
          <w:i/>
          <w:iCs/>
        </w:rPr>
        <w:t>content analysis</w:t>
      </w:r>
      <w:r w:rsidRPr="009629CA">
        <w:rPr>
          <w:rFonts w:ascii="Times New Roman" w:hAnsi="Times New Roman" w:cs="Times New Roman"/>
        </w:rPr>
        <w:t xml:space="preserve">) diterapkan untuk mengidentifikasi tema dan pola dalam teks. Pandangan Fazlur Rahman tentang </w:t>
      </w:r>
      <w:r w:rsidRPr="009629CA">
        <w:rPr>
          <w:rFonts w:ascii="Times New Roman" w:hAnsi="Times New Roman" w:cs="Times New Roman"/>
          <w:i/>
          <w:iCs/>
        </w:rPr>
        <w:t>double movement</w:t>
      </w:r>
      <w:r w:rsidRPr="009629CA">
        <w:rPr>
          <w:rFonts w:ascii="Times New Roman" w:hAnsi="Times New Roman" w:cs="Times New Roman"/>
        </w:rPr>
        <w:t xml:space="preserve"> dianalisis untuk memahami bagaimana historisitas teks dapat diterapkan dalam tafsir modern. Kedua, analisis komparatif dilakukan untuk membandingkan kritik terhadap hermeneutika antara ulama tradisional dan kontemporer. Sebagai contoh, perbedaan metodologis antara pendekatan Al-Suyuti dalam </w:t>
      </w:r>
      <w:r w:rsidRPr="009629CA">
        <w:rPr>
          <w:rFonts w:ascii="Times New Roman" w:hAnsi="Times New Roman" w:cs="Times New Roman"/>
          <w:i/>
          <w:iCs/>
        </w:rPr>
        <w:t>Al-Itqan</w:t>
      </w:r>
      <w:r w:rsidRPr="009629CA">
        <w:rPr>
          <w:rFonts w:ascii="Times New Roman" w:hAnsi="Times New Roman" w:cs="Times New Roman"/>
        </w:rPr>
        <w:t xml:space="preserve"> dan metode kritis Abu Zayd dikaji untuk menyoroti perbedaan epistemologi. Ketiga, metode hermeneutika filosofis digunakan untuk memahami bagaimana hermeneutika dipahami dan dikritik dalam konteks epistemologi Islam, seperti yang diuraikan Abdullah Saeed dalam </w:t>
      </w:r>
      <w:r w:rsidRPr="009629CA">
        <w:rPr>
          <w:rFonts w:ascii="Times New Roman" w:hAnsi="Times New Roman" w:cs="Times New Roman"/>
          <w:i/>
          <w:iCs/>
        </w:rPr>
        <w:t>Hermeneutika Al-Qur'an</w:t>
      </w:r>
      <w:r w:rsidRPr="009629CA">
        <w:rPr>
          <w:rFonts w:ascii="Times New Roman" w:hAnsi="Times New Roman" w:cs="Times New Roman"/>
        </w:rPr>
        <w:t>.</w:t>
      </w:r>
    </w:p>
    <w:p w:rsidR="002F75D7" w:rsidRPr="00D60793" w:rsidRDefault="009629CA" w:rsidP="00D60793">
      <w:pPr>
        <w:spacing w:line="276" w:lineRule="auto"/>
        <w:ind w:firstLine="720"/>
        <w:jc w:val="both"/>
        <w:rPr>
          <w:rFonts w:ascii="Times New Roman" w:hAnsi="Times New Roman" w:cs="Times New Roman"/>
        </w:rPr>
      </w:pPr>
      <w:r w:rsidRPr="009629CA">
        <w:rPr>
          <w:rFonts w:ascii="Times New Roman" w:hAnsi="Times New Roman" w:cs="Times New Roman"/>
        </w:rPr>
        <w:t xml:space="preserve">Analisis dalam penelitian ini berfokus pada beberapa parameter utama. Pertama, aspek epistemologi menjadi perhatian utama, dengan membandingkan prinsip-prinsip dasar pengetahuan dalam Islam dengan pendekatan hermeneutika Barat. Hal ini merujuk pada gagasan Jasser Auda dalam </w:t>
      </w:r>
      <w:r w:rsidRPr="009629CA">
        <w:rPr>
          <w:rFonts w:ascii="Times New Roman" w:hAnsi="Times New Roman" w:cs="Times New Roman"/>
          <w:i/>
          <w:iCs/>
        </w:rPr>
        <w:t>Maqasid al-Shariah as Philosophy of Islamic Law</w:t>
      </w:r>
      <w:r w:rsidRPr="009629CA">
        <w:rPr>
          <w:rFonts w:ascii="Times New Roman" w:hAnsi="Times New Roman" w:cs="Times New Roman"/>
        </w:rPr>
        <w:t xml:space="preserve">, yang menekankan pentingnya tujuan syariat dalam interpretasi teks. Kedua, keseimbangan antara pendekatan kontekstual dan tradisional dianalisis melalui pandangan Quraish Shihab dalam </w:t>
      </w:r>
      <w:r w:rsidRPr="009629CA">
        <w:rPr>
          <w:rFonts w:ascii="Times New Roman" w:hAnsi="Times New Roman" w:cs="Times New Roman"/>
          <w:i/>
          <w:iCs/>
        </w:rPr>
        <w:t>Al-Qur'an dan Metodologi Tafsir</w:t>
      </w:r>
      <w:r w:rsidRPr="009629CA">
        <w:rPr>
          <w:rFonts w:ascii="Times New Roman" w:hAnsi="Times New Roman" w:cs="Times New Roman"/>
        </w:rPr>
        <w:t xml:space="preserve">, yang mengintegrasikan fleksibilitas modern dengan prinsip klasik. Ketiga, parameter komparasi metodologi digunakan untuk mengidentifikasi peluang rekonsiliasi antara hermeneutika dan </w:t>
      </w:r>
      <w:r w:rsidRPr="009629CA">
        <w:rPr>
          <w:rFonts w:ascii="Times New Roman" w:hAnsi="Times New Roman" w:cs="Times New Roman"/>
          <w:i/>
          <w:iCs/>
        </w:rPr>
        <w:t>ushul tafsir</w:t>
      </w:r>
      <w:r w:rsidRPr="009629CA">
        <w:rPr>
          <w:rFonts w:ascii="Times New Roman" w:hAnsi="Times New Roman" w:cs="Times New Roman"/>
        </w:rPr>
        <w:t>, seperti yang dijelaskan dalam karya Mohammad Arkoun tentang reformasi pemikiran Islam.</w:t>
      </w:r>
    </w:p>
    <w:p w:rsidR="002F75D7" w:rsidRPr="00D60793" w:rsidRDefault="009629CA" w:rsidP="00D60793">
      <w:pPr>
        <w:spacing w:line="276" w:lineRule="auto"/>
        <w:ind w:firstLine="720"/>
        <w:jc w:val="both"/>
        <w:rPr>
          <w:rFonts w:ascii="Times New Roman" w:hAnsi="Times New Roman" w:cs="Times New Roman"/>
        </w:rPr>
      </w:pPr>
      <w:r w:rsidRPr="009629CA">
        <w:rPr>
          <w:rFonts w:ascii="Times New Roman" w:hAnsi="Times New Roman" w:cs="Times New Roman"/>
        </w:rPr>
        <w:t xml:space="preserve">Sebagai penelitian kualitatif, analisis dilakukan melalui pendekatan deskriptif dan interpretatif. Teknik </w:t>
      </w:r>
      <w:r w:rsidRPr="009629CA">
        <w:rPr>
          <w:rFonts w:ascii="Times New Roman" w:hAnsi="Times New Roman" w:cs="Times New Roman"/>
          <w:i/>
          <w:iCs/>
        </w:rPr>
        <w:t>content analysis</w:t>
      </w:r>
      <w:r w:rsidRPr="009629CA">
        <w:rPr>
          <w:rFonts w:ascii="Times New Roman" w:hAnsi="Times New Roman" w:cs="Times New Roman"/>
        </w:rPr>
        <w:t xml:space="preserve"> digunakan untuk mengorganisasi data berdasarkan tema utama, seperti kritik epistemologis dan normatif terhadap hermeneutika. Sebagai contoh, tema kritik tradisional yang diangkat oleh Ibn Taymiyyah dalam </w:t>
      </w:r>
      <w:r w:rsidRPr="009629CA">
        <w:rPr>
          <w:rFonts w:ascii="Times New Roman" w:hAnsi="Times New Roman" w:cs="Times New Roman"/>
          <w:i/>
          <w:iCs/>
        </w:rPr>
        <w:t>Muqaddimah Tafsir</w:t>
      </w:r>
      <w:r w:rsidRPr="009629CA">
        <w:rPr>
          <w:rFonts w:ascii="Times New Roman" w:hAnsi="Times New Roman" w:cs="Times New Roman"/>
        </w:rPr>
        <w:t xml:space="preserve"> dibandingkan dengan pandangan kontemporer seperti yang dikemukakan oleh Nasr Hamid Abu Zayd. Selanjutnya, temuan ini diinterpretasikan dalam konteks sosial dan budaya untuk memahami bagaimana pandangan ulama terbentuk dan berkembang. Analisis ini dilengkapi dengan metode komparatif untuk mengidentifikasi kesamaan dan perbedaan </w:t>
      </w:r>
      <w:r w:rsidRPr="009629CA">
        <w:rPr>
          <w:rFonts w:ascii="Times New Roman" w:hAnsi="Times New Roman" w:cs="Times New Roman"/>
        </w:rPr>
        <w:lastRenderedPageBreak/>
        <w:t>dalam pendekatan tafsir tradisional dan modern, serta relevansi pandangan mereka terhadap tantangan kontemporer.</w:t>
      </w:r>
    </w:p>
    <w:p w:rsidR="00E41FD3" w:rsidRPr="00E41FD3" w:rsidRDefault="009629CA" w:rsidP="00D60793">
      <w:pPr>
        <w:spacing w:line="276" w:lineRule="auto"/>
        <w:ind w:firstLine="720"/>
        <w:jc w:val="both"/>
        <w:rPr>
          <w:rFonts w:ascii="Times New Roman" w:hAnsi="Times New Roman" w:cs="Times New Roman"/>
          <w:sz w:val="24"/>
          <w:szCs w:val="24"/>
        </w:rPr>
      </w:pPr>
      <w:r w:rsidRPr="009629CA">
        <w:rPr>
          <w:rFonts w:ascii="Times New Roman" w:hAnsi="Times New Roman" w:cs="Times New Roman"/>
        </w:rPr>
        <w:t xml:space="preserve">Metodologi ini memberikan kerangka kerja yang sistematis untuk menggali kritik terhadap hermeneutika sekaligus mengeksplorasi potensi integrasinya dengan </w:t>
      </w:r>
      <w:r w:rsidRPr="009629CA">
        <w:rPr>
          <w:rFonts w:ascii="Times New Roman" w:hAnsi="Times New Roman" w:cs="Times New Roman"/>
          <w:i/>
          <w:iCs/>
        </w:rPr>
        <w:t>ushul tafsir</w:t>
      </w:r>
      <w:r w:rsidRPr="009629CA">
        <w:rPr>
          <w:rFonts w:ascii="Times New Roman" w:hAnsi="Times New Roman" w:cs="Times New Roman"/>
        </w:rPr>
        <w:t>. Pendekatan ini diharapkan dapat menghasilkan temuan yang mendalam, kredibel, dan relevan dengan kebutuhan zaman.</w:t>
      </w:r>
    </w:p>
    <w:p w:rsidR="00E41FD3" w:rsidRPr="00E41FD3" w:rsidRDefault="00D60793" w:rsidP="00D60793">
      <w:pPr>
        <w:spacing w:line="276" w:lineRule="auto"/>
        <w:jc w:val="both"/>
        <w:rPr>
          <w:rFonts w:ascii="Times New Roman" w:hAnsi="Times New Roman" w:cs="Times New Roman"/>
          <w:b/>
          <w:bCs/>
        </w:rPr>
      </w:pPr>
      <w:r w:rsidRPr="00D60793">
        <w:rPr>
          <w:rFonts w:ascii="Times New Roman" w:hAnsi="Times New Roman" w:cs="Times New Roman"/>
          <w:b/>
          <w:bCs/>
        </w:rPr>
        <w:t>Hasil dan Pembahasan</w:t>
      </w:r>
    </w:p>
    <w:p w:rsidR="00E41FD3" w:rsidRPr="00E41FD3" w:rsidRDefault="00E41FD3" w:rsidP="00D60793">
      <w:pPr>
        <w:spacing w:line="276" w:lineRule="auto"/>
        <w:jc w:val="both"/>
        <w:rPr>
          <w:rFonts w:ascii="Times New Roman" w:hAnsi="Times New Roman" w:cs="Times New Roman"/>
          <w:b/>
          <w:bCs/>
        </w:rPr>
      </w:pPr>
      <w:r w:rsidRPr="00E41FD3">
        <w:rPr>
          <w:rFonts w:ascii="Times New Roman" w:hAnsi="Times New Roman" w:cs="Times New Roman"/>
          <w:b/>
          <w:bCs/>
        </w:rPr>
        <w:t>Hermeneutika dalam Tafsir Al-Qur'an: Analisis Epistemologi</w:t>
      </w:r>
    </w:p>
    <w:p w:rsidR="002F75D7" w:rsidRPr="00D60793" w:rsidRDefault="002F75D7" w:rsidP="00D60793">
      <w:pPr>
        <w:spacing w:line="276" w:lineRule="auto"/>
        <w:ind w:firstLine="720"/>
        <w:jc w:val="both"/>
        <w:rPr>
          <w:rFonts w:ascii="Times New Roman" w:hAnsi="Times New Roman" w:cs="Times New Roman"/>
        </w:rPr>
      </w:pPr>
      <w:r w:rsidRPr="00D60793">
        <w:rPr>
          <w:rFonts w:ascii="Times New Roman" w:hAnsi="Times New Roman" w:cs="Times New Roman"/>
        </w:rPr>
        <w:t>E</w:t>
      </w:r>
      <w:r w:rsidR="00DA113B" w:rsidRPr="00DA113B">
        <w:rPr>
          <w:rFonts w:ascii="Times New Roman" w:hAnsi="Times New Roman" w:cs="Times New Roman"/>
        </w:rPr>
        <w:t xml:space="preserve">pistemologi hermeneutika sebagai metode tafsir Al-Qur'an dengan membandingkannya dengan </w:t>
      </w:r>
      <w:r w:rsidR="00DA113B" w:rsidRPr="00DA113B">
        <w:rPr>
          <w:rFonts w:ascii="Times New Roman" w:hAnsi="Times New Roman" w:cs="Times New Roman"/>
          <w:i/>
          <w:iCs/>
        </w:rPr>
        <w:t>usul tafsir</w:t>
      </w:r>
      <w:r w:rsidR="00DA113B" w:rsidRPr="00DA113B">
        <w:rPr>
          <w:rFonts w:ascii="Times New Roman" w:hAnsi="Times New Roman" w:cs="Times New Roman"/>
        </w:rPr>
        <w:t xml:space="preserve"> Islam. Hermeneutika berakar pada tradisi Barat, digunakan untuk menafsirkan teks klasik dan religius dengan menitikberatkan pada historisitas dan konteks budaya teks</w:t>
      </w:r>
      <w:r w:rsidR="00DF7A80" w:rsidRPr="00D60793">
        <w:rPr>
          <w:rFonts w:ascii="Times New Roman" w:hAnsi="Times New Roman" w:cs="Times New Roman"/>
        </w:rPr>
        <w:t>.</w:t>
      </w:r>
      <w:r w:rsidR="00DF7A80" w:rsidRPr="00D60793">
        <w:rPr>
          <w:rStyle w:val="FootnoteReference"/>
          <w:rFonts w:ascii="Times New Roman" w:hAnsi="Times New Roman" w:cs="Times New Roman"/>
        </w:rPr>
        <w:footnoteReference w:id="13"/>
      </w:r>
      <w:r w:rsidR="00DF7A80" w:rsidRPr="00D60793">
        <w:rPr>
          <w:rFonts w:ascii="Times New Roman" w:hAnsi="Times New Roman" w:cs="Times New Roman"/>
        </w:rPr>
        <w:t xml:space="preserve"> </w:t>
      </w:r>
      <w:r w:rsidR="00DA113B" w:rsidRPr="00DA113B">
        <w:rPr>
          <w:rFonts w:ascii="Times New Roman" w:hAnsi="Times New Roman" w:cs="Times New Roman"/>
        </w:rPr>
        <w:t>Pendekatan ini menghadirkan tantangan dalam tafsir Al-Qur'an karena, berbeda dengan pendekatan Islam yang berbasis wahyu, hermeneutika menempatkan manusia sebagai otoritas utama dalam interpretasi teks, mengesampingkan dimensi ilahiah</w:t>
      </w:r>
      <w:r w:rsidR="00DF7A80" w:rsidRPr="00D60793">
        <w:rPr>
          <w:rFonts w:ascii="Times New Roman" w:hAnsi="Times New Roman" w:cs="Times New Roman"/>
        </w:rPr>
        <w:t>.</w:t>
      </w:r>
      <w:r w:rsidR="00DF7A80" w:rsidRPr="00D60793">
        <w:rPr>
          <w:rStyle w:val="FootnoteReference"/>
          <w:rFonts w:ascii="Times New Roman" w:hAnsi="Times New Roman" w:cs="Times New Roman"/>
        </w:rPr>
        <w:footnoteReference w:id="14"/>
      </w:r>
      <w:r w:rsidR="00DF7A80" w:rsidRPr="00D60793">
        <w:rPr>
          <w:rFonts w:ascii="Times New Roman" w:hAnsi="Times New Roman" w:cs="Times New Roman"/>
        </w:rPr>
        <w:t xml:space="preserve"> </w:t>
      </w:r>
    </w:p>
    <w:p w:rsidR="002F75D7" w:rsidRPr="00D60793" w:rsidRDefault="00DA113B" w:rsidP="00D60793">
      <w:pPr>
        <w:spacing w:line="276" w:lineRule="auto"/>
        <w:ind w:firstLine="720"/>
        <w:jc w:val="both"/>
        <w:rPr>
          <w:rFonts w:ascii="Times New Roman" w:hAnsi="Times New Roman" w:cs="Times New Roman"/>
        </w:rPr>
      </w:pPr>
      <w:r w:rsidRPr="00DA113B">
        <w:rPr>
          <w:rFonts w:ascii="Times New Roman" w:hAnsi="Times New Roman" w:cs="Times New Roman"/>
        </w:rPr>
        <w:t xml:space="preserve">Ulama klasik seperti al-Suyuti menegaskan pentingnya penguasaan </w:t>
      </w:r>
      <w:r w:rsidRPr="00DA113B">
        <w:rPr>
          <w:rFonts w:ascii="Times New Roman" w:hAnsi="Times New Roman" w:cs="Times New Roman"/>
          <w:i/>
          <w:iCs/>
        </w:rPr>
        <w:t>ulum al-Qur'an</w:t>
      </w:r>
      <w:r w:rsidRPr="00DA113B">
        <w:rPr>
          <w:rFonts w:ascii="Times New Roman" w:hAnsi="Times New Roman" w:cs="Times New Roman"/>
        </w:rPr>
        <w:t xml:space="preserve"> untuk menjaga otentisitas tafsir. Dalam </w:t>
      </w:r>
      <w:r w:rsidRPr="00DA113B">
        <w:rPr>
          <w:rFonts w:ascii="Times New Roman" w:hAnsi="Times New Roman" w:cs="Times New Roman"/>
          <w:i/>
          <w:iCs/>
        </w:rPr>
        <w:t>Al-Itqan fi Ulum al-Qur'an</w:t>
      </w:r>
      <w:r w:rsidRPr="00DA113B">
        <w:rPr>
          <w:rFonts w:ascii="Times New Roman" w:hAnsi="Times New Roman" w:cs="Times New Roman"/>
        </w:rPr>
        <w:t xml:space="preserve">, al-Suyuti menyatakan bahwa seorang mufasir harus memahami </w:t>
      </w:r>
      <w:r w:rsidRPr="00DA113B">
        <w:rPr>
          <w:rFonts w:ascii="Times New Roman" w:hAnsi="Times New Roman" w:cs="Times New Roman"/>
          <w:i/>
          <w:iCs/>
        </w:rPr>
        <w:t>lughah</w:t>
      </w:r>
      <w:r w:rsidRPr="00DA113B">
        <w:rPr>
          <w:rFonts w:ascii="Times New Roman" w:hAnsi="Times New Roman" w:cs="Times New Roman"/>
        </w:rPr>
        <w:t xml:space="preserve"> dan riwayat terkait wahyu untuk menafsirkan Al-Qur'an</w:t>
      </w:r>
      <w:r w:rsidR="00691E36" w:rsidRPr="00D60793">
        <w:rPr>
          <w:rFonts w:ascii="Times New Roman" w:hAnsi="Times New Roman" w:cs="Times New Roman"/>
        </w:rPr>
        <w:t>.</w:t>
      </w:r>
      <w:r w:rsidR="00691E36" w:rsidRPr="00D60793">
        <w:rPr>
          <w:rStyle w:val="FootnoteReference"/>
          <w:rFonts w:ascii="Times New Roman" w:hAnsi="Times New Roman" w:cs="Times New Roman"/>
        </w:rPr>
        <w:footnoteReference w:id="15"/>
      </w:r>
      <w:r w:rsidR="00691E36" w:rsidRPr="00D60793">
        <w:rPr>
          <w:rFonts w:ascii="Times New Roman" w:hAnsi="Times New Roman" w:cs="Times New Roman"/>
        </w:rPr>
        <w:t xml:space="preserve"> </w:t>
      </w:r>
      <w:r w:rsidRPr="00DA113B">
        <w:rPr>
          <w:rFonts w:ascii="Times New Roman" w:hAnsi="Times New Roman" w:cs="Times New Roman"/>
        </w:rPr>
        <w:t>Sebaliknya, hermeneutika yang berfokus pada analisis historis dianggap dapat mengaburkan dimensi ilahiah teks. Di sisi lain, Mustansir Mir menyatakan bahwa hermeneutika dapat menjadi alat yang berguna dalam tafsir Al-Qur'an jika diterapkan dalam kerangka epistemologi Islam, yang mengakui asal-usul ilahiah Al-Qur'an</w:t>
      </w:r>
      <w:r w:rsidR="00DF7A80" w:rsidRPr="00D60793">
        <w:rPr>
          <w:rFonts w:ascii="Times New Roman" w:hAnsi="Times New Roman" w:cs="Times New Roman"/>
        </w:rPr>
        <w:t>.</w:t>
      </w:r>
      <w:r w:rsidR="00DF7A80" w:rsidRPr="00D60793">
        <w:rPr>
          <w:rStyle w:val="FootnoteReference"/>
          <w:rFonts w:ascii="Times New Roman" w:hAnsi="Times New Roman" w:cs="Times New Roman"/>
        </w:rPr>
        <w:footnoteReference w:id="16"/>
      </w:r>
      <w:r w:rsidR="00DF7A80" w:rsidRPr="00D60793">
        <w:rPr>
          <w:rFonts w:ascii="Times New Roman" w:hAnsi="Times New Roman" w:cs="Times New Roman"/>
        </w:rPr>
        <w:t xml:space="preserve"> </w:t>
      </w:r>
    </w:p>
    <w:p w:rsidR="002F75D7" w:rsidRPr="00D60793" w:rsidRDefault="00DA113B" w:rsidP="00D60793">
      <w:pPr>
        <w:spacing w:line="276" w:lineRule="auto"/>
        <w:ind w:firstLine="720"/>
        <w:jc w:val="both"/>
        <w:rPr>
          <w:rFonts w:ascii="Times New Roman" w:hAnsi="Times New Roman" w:cs="Times New Roman"/>
        </w:rPr>
      </w:pPr>
      <w:r w:rsidRPr="00DA113B">
        <w:rPr>
          <w:rFonts w:ascii="Times New Roman" w:hAnsi="Times New Roman" w:cs="Times New Roman"/>
        </w:rPr>
        <w:t xml:space="preserve">Secara prinsipil, </w:t>
      </w:r>
      <w:r w:rsidRPr="00DA113B">
        <w:rPr>
          <w:rFonts w:ascii="Times New Roman" w:hAnsi="Times New Roman" w:cs="Times New Roman"/>
          <w:i/>
          <w:iCs/>
        </w:rPr>
        <w:t>usul tafsir</w:t>
      </w:r>
      <w:r w:rsidRPr="00DA113B">
        <w:rPr>
          <w:rFonts w:ascii="Times New Roman" w:hAnsi="Times New Roman" w:cs="Times New Roman"/>
        </w:rPr>
        <w:t xml:space="preserve"> Islam dan hermeneutika Barat memiliki pendekatan yang berbeda terhadap teks suci. Dalam tafsir Islam, sumber utama interpretasi adalah Al-Qur'an dan Hadis yang harus dipahami dalam kerangka wahyu, didukung oleh kaidah linguistik Arab dan tujuan syari'ah (</w:t>
      </w:r>
      <w:r w:rsidRPr="00DA113B">
        <w:rPr>
          <w:rFonts w:ascii="Times New Roman" w:hAnsi="Times New Roman" w:cs="Times New Roman"/>
          <w:i/>
          <w:iCs/>
        </w:rPr>
        <w:t>maqasid syari'ah</w:t>
      </w:r>
      <w:r w:rsidRPr="00DA113B">
        <w:rPr>
          <w:rFonts w:ascii="Times New Roman" w:hAnsi="Times New Roman" w:cs="Times New Roman"/>
        </w:rPr>
        <w:t>)</w:t>
      </w:r>
      <w:r w:rsidR="00691E36" w:rsidRPr="00D60793">
        <w:rPr>
          <w:rFonts w:ascii="Times New Roman" w:hAnsi="Times New Roman" w:cs="Times New Roman"/>
        </w:rPr>
        <w:t>.</w:t>
      </w:r>
      <w:r w:rsidR="00691E36" w:rsidRPr="00D60793">
        <w:rPr>
          <w:rStyle w:val="FootnoteReference"/>
          <w:rFonts w:ascii="Times New Roman" w:hAnsi="Times New Roman" w:cs="Times New Roman"/>
        </w:rPr>
        <w:footnoteReference w:id="17"/>
      </w:r>
      <w:r w:rsidRPr="00DA113B">
        <w:rPr>
          <w:rFonts w:ascii="Times New Roman" w:hAnsi="Times New Roman" w:cs="Times New Roman"/>
        </w:rPr>
        <w:t>Sebaliknya, hermeneutika Barat lebih menekankan penggunaan akal budi dan pengaruh konteks historis dalam membentuk makna teks</w:t>
      </w:r>
      <w:r w:rsidR="00A85C01" w:rsidRPr="00D60793">
        <w:rPr>
          <w:rFonts w:ascii="Times New Roman" w:hAnsi="Times New Roman" w:cs="Times New Roman"/>
        </w:rPr>
        <w:t>.</w:t>
      </w:r>
    </w:p>
    <w:p w:rsidR="002F75D7" w:rsidRPr="00D60793" w:rsidRDefault="00DA113B" w:rsidP="00D60793">
      <w:pPr>
        <w:spacing w:line="276" w:lineRule="auto"/>
        <w:ind w:firstLine="720"/>
        <w:jc w:val="both"/>
        <w:rPr>
          <w:rFonts w:ascii="Times New Roman" w:hAnsi="Times New Roman" w:cs="Times New Roman"/>
        </w:rPr>
      </w:pPr>
      <w:r w:rsidRPr="00DA113B">
        <w:rPr>
          <w:rFonts w:ascii="Times New Roman" w:hAnsi="Times New Roman" w:cs="Times New Roman"/>
        </w:rPr>
        <w:t xml:space="preserve">Perbandingan dengan literatur menunjukkan bahwa meskipun </w:t>
      </w:r>
      <w:r w:rsidRPr="00DA113B">
        <w:rPr>
          <w:rFonts w:ascii="Times New Roman" w:hAnsi="Times New Roman" w:cs="Times New Roman"/>
          <w:i/>
          <w:iCs/>
        </w:rPr>
        <w:t>usul tafsir</w:t>
      </w:r>
      <w:r w:rsidRPr="00DA113B">
        <w:rPr>
          <w:rFonts w:ascii="Times New Roman" w:hAnsi="Times New Roman" w:cs="Times New Roman"/>
        </w:rPr>
        <w:t xml:space="preserve"> Islam cenderung lebih kaku dalam kerangka metodologisnya, pendekatan ini tetap memastikan bahwa interpretasi tidak menyimpang dari nilai-nilai Islam. Kritik terhadap hermeneutika mencakup kekhawatiran bahwa penekanan pada konteks dapat mengikis otoritas wahyu, seperti yang dikemukakan oleh Yasir Qadhi, bahwa metodologi tafsir Islam harus tunduk pada panduan ilahi, bukan rasionalitas manusia</w:t>
      </w:r>
      <w:r w:rsidR="00DF7A80" w:rsidRPr="00D60793">
        <w:rPr>
          <w:rFonts w:ascii="Times New Roman" w:hAnsi="Times New Roman" w:cs="Times New Roman"/>
        </w:rPr>
        <w:t xml:space="preserve">. </w:t>
      </w:r>
      <w:r w:rsidRPr="00DA113B">
        <w:rPr>
          <w:rFonts w:ascii="Times New Roman" w:hAnsi="Times New Roman" w:cs="Times New Roman"/>
        </w:rPr>
        <w:t>Namun, Mir menyoroti bahwa dengan adaptasi yang tepat, hermeneutika dapat menambah kedalaman dalam memahami konteks Al-Qur'an tanpa kehilangan sifat ilahiahnya</w:t>
      </w:r>
      <w:r w:rsidR="00DF7A80" w:rsidRPr="00D60793">
        <w:rPr>
          <w:rFonts w:ascii="Times New Roman" w:hAnsi="Times New Roman" w:cs="Times New Roman"/>
        </w:rPr>
        <w:t>.</w:t>
      </w:r>
      <w:r w:rsidR="00DF7A80" w:rsidRPr="00D60793">
        <w:rPr>
          <w:rStyle w:val="FootnoteReference"/>
          <w:rFonts w:ascii="Times New Roman" w:hAnsi="Times New Roman" w:cs="Times New Roman"/>
        </w:rPr>
        <w:footnoteReference w:id="18"/>
      </w:r>
      <w:r w:rsidR="00DF7A80" w:rsidRPr="00D60793">
        <w:rPr>
          <w:rFonts w:ascii="Times New Roman" w:hAnsi="Times New Roman" w:cs="Times New Roman"/>
        </w:rPr>
        <w:t xml:space="preserve"> </w:t>
      </w:r>
    </w:p>
    <w:p w:rsidR="002F75D7" w:rsidRPr="00D60793" w:rsidRDefault="00DA113B" w:rsidP="00D60793">
      <w:pPr>
        <w:spacing w:line="276" w:lineRule="auto"/>
        <w:ind w:firstLine="720"/>
        <w:jc w:val="both"/>
        <w:rPr>
          <w:rFonts w:ascii="Times New Roman" w:hAnsi="Times New Roman" w:cs="Times New Roman"/>
        </w:rPr>
      </w:pPr>
      <w:r w:rsidRPr="00DA113B">
        <w:rPr>
          <w:rFonts w:ascii="Times New Roman" w:hAnsi="Times New Roman" w:cs="Times New Roman"/>
        </w:rPr>
        <w:t xml:space="preserve">Pendekatan hermeneutika modern juga telah digunakan untuk menyoroti isu-isu kontemporer, seperti tafsir feminis yang menantang interpretasi patriarkal, tetapi ini tetap kontroversial di kalangan </w:t>
      </w:r>
      <w:r w:rsidRPr="00DA113B">
        <w:rPr>
          <w:rFonts w:ascii="Times New Roman" w:hAnsi="Times New Roman" w:cs="Times New Roman"/>
        </w:rPr>
        <w:lastRenderedPageBreak/>
        <w:t>ulama tradisional</w:t>
      </w:r>
      <w:r w:rsidR="00DF7A80" w:rsidRPr="00D60793">
        <w:rPr>
          <w:rStyle w:val="FootnoteReference"/>
          <w:rFonts w:ascii="Times New Roman" w:hAnsi="Times New Roman" w:cs="Times New Roman"/>
        </w:rPr>
        <w:footnoteReference w:id="19"/>
      </w:r>
      <w:r w:rsidRPr="00DA113B">
        <w:rPr>
          <w:rFonts w:ascii="Times New Roman" w:hAnsi="Times New Roman" w:cs="Times New Roman"/>
        </w:rPr>
        <w:t xml:space="preserve"> Literatur terbaru menunjukkan perlunya dialog antara pendekatan tradisional dan modern untuk menciptakan metodologi tafsir yang lebih relevan secara kontekstual namun tetap menjaga prinsip Islam</w:t>
      </w:r>
      <w:r w:rsidR="00DF7A80" w:rsidRPr="00D60793">
        <w:rPr>
          <w:rFonts w:ascii="Times New Roman" w:hAnsi="Times New Roman" w:cs="Times New Roman"/>
        </w:rPr>
        <w:t>.</w:t>
      </w:r>
      <w:r w:rsidR="00DF7A80" w:rsidRPr="00D60793">
        <w:rPr>
          <w:rStyle w:val="FootnoteReference"/>
          <w:rFonts w:ascii="Times New Roman" w:hAnsi="Times New Roman" w:cs="Times New Roman"/>
        </w:rPr>
        <w:footnoteReference w:id="20"/>
      </w:r>
      <w:r w:rsidR="00DF7A80" w:rsidRPr="00D60793">
        <w:rPr>
          <w:rFonts w:ascii="Times New Roman" w:hAnsi="Times New Roman" w:cs="Times New Roman"/>
        </w:rPr>
        <w:t xml:space="preserve"> </w:t>
      </w:r>
      <w:r w:rsidRPr="00DA113B">
        <w:rPr>
          <w:rFonts w:ascii="Times New Roman" w:hAnsi="Times New Roman" w:cs="Times New Roman"/>
        </w:rPr>
        <w:t xml:space="preserve">Temuan penelitian ini menunjukkan adanya perbedaan epistemologis yang mendalam antara hermeneutika Barat dan </w:t>
      </w:r>
      <w:r w:rsidRPr="00DA113B">
        <w:rPr>
          <w:rFonts w:ascii="Times New Roman" w:hAnsi="Times New Roman" w:cs="Times New Roman"/>
          <w:i/>
          <w:iCs/>
        </w:rPr>
        <w:t>usul tafsir</w:t>
      </w:r>
      <w:r w:rsidRPr="00DA113B">
        <w:rPr>
          <w:rFonts w:ascii="Times New Roman" w:hAnsi="Times New Roman" w:cs="Times New Roman"/>
        </w:rPr>
        <w:t xml:space="preserve"> Islam, namun juga mengungkapkan potensi integrasi yang dapat menjembatani kesenjangan tersebut. Dengan menyelaraskan prinsip-prinsip hermeneutika yang menekankan kontekstualitas dengan fondasi epistemologi Islam yang berbasis wahyu, interpretasi Al-Qur'an dapat lebih relevan di era modern tanpa mengorbankan nilai-nilai inti Islam.</w:t>
      </w:r>
    </w:p>
    <w:p w:rsidR="002F75D7" w:rsidRPr="00D60793" w:rsidRDefault="00DA113B" w:rsidP="00D60793">
      <w:pPr>
        <w:spacing w:line="276" w:lineRule="auto"/>
        <w:ind w:firstLine="720"/>
        <w:jc w:val="both"/>
        <w:rPr>
          <w:rFonts w:ascii="Times New Roman" w:hAnsi="Times New Roman" w:cs="Times New Roman"/>
        </w:rPr>
      </w:pPr>
      <w:r w:rsidRPr="00DA113B">
        <w:rPr>
          <w:rFonts w:ascii="Times New Roman" w:hAnsi="Times New Roman" w:cs="Times New Roman"/>
        </w:rPr>
        <w:t>Implikasi praktis dari temuan ini adalah pentingnya pendekatan yang lebih fleksibel dalam tafsir Al-Qur'an, terutama untuk menjawab tantangan intelektual dan sosial kontemporer. Contohnya, analisis kontekstual yang ditawarkan oleh hermeneutika dapat membantu memperkaya pemahaman terhadap isu-isu seperti kesetaraan gender atau keadilan sosial dalam kerangka nilai Islam</w:t>
      </w:r>
      <w:r w:rsidR="00DF7A80" w:rsidRPr="00D60793">
        <w:rPr>
          <w:rStyle w:val="FootnoteReference"/>
          <w:rFonts w:ascii="Times New Roman" w:hAnsi="Times New Roman" w:cs="Times New Roman"/>
        </w:rPr>
        <w:footnoteReference w:id="21"/>
      </w:r>
    </w:p>
    <w:p w:rsidR="00E41FD3" w:rsidRPr="00E41FD3" w:rsidRDefault="00DA113B" w:rsidP="00D60793">
      <w:pPr>
        <w:spacing w:line="276" w:lineRule="auto"/>
        <w:ind w:firstLine="720"/>
        <w:jc w:val="both"/>
        <w:rPr>
          <w:rFonts w:ascii="Times New Roman" w:hAnsi="Times New Roman" w:cs="Times New Roman"/>
        </w:rPr>
      </w:pPr>
      <w:r w:rsidRPr="00DA113B">
        <w:rPr>
          <w:rFonts w:ascii="Times New Roman" w:hAnsi="Times New Roman" w:cs="Times New Roman"/>
        </w:rPr>
        <w:t>Selain itu, adaptasi hermeneutika dalam kerangka epistemologi Islam dapat memberikan landasan yang kuat untuk dialog lintas budaya dan agama. Pendekatan ini memungkinkan Muslim untuk menavigasi diskursus global tanpa kehilangan identitas dan prinsip syari’ah mereka. Dengan demikian, penelitian ini berkontribusi pada pengembangan kerangka kerja interpretasi yang lebih integratif dan holistik, yang tidak hanya relevan secara akademis tetapi juga aplikatif dalam kehidupan umat Muslim modern.</w:t>
      </w:r>
    </w:p>
    <w:p w:rsidR="00E41FD3" w:rsidRPr="00D60793" w:rsidRDefault="00E41FD3" w:rsidP="00D60793">
      <w:pPr>
        <w:spacing w:line="276" w:lineRule="auto"/>
        <w:jc w:val="both"/>
        <w:rPr>
          <w:rFonts w:ascii="Times New Roman" w:hAnsi="Times New Roman" w:cs="Times New Roman"/>
          <w:b/>
          <w:bCs/>
        </w:rPr>
      </w:pPr>
      <w:r w:rsidRPr="00E41FD3">
        <w:rPr>
          <w:rFonts w:ascii="Times New Roman" w:hAnsi="Times New Roman" w:cs="Times New Roman"/>
          <w:b/>
          <w:bCs/>
        </w:rPr>
        <w:t>Kritik Ulama Tradisional terhadap Hermeneutika: Perspektif Normatif dan Epistemologis</w:t>
      </w:r>
    </w:p>
    <w:p w:rsidR="002F75D7" w:rsidRPr="00D60793" w:rsidRDefault="00DA113B" w:rsidP="00D60793">
      <w:pPr>
        <w:spacing w:line="276" w:lineRule="auto"/>
        <w:ind w:firstLine="720"/>
        <w:jc w:val="both"/>
        <w:rPr>
          <w:rFonts w:ascii="Times New Roman" w:hAnsi="Times New Roman" w:cs="Times New Roman"/>
        </w:rPr>
      </w:pPr>
      <w:r w:rsidRPr="00DA113B">
        <w:rPr>
          <w:rFonts w:ascii="Times New Roman" w:hAnsi="Times New Roman" w:cs="Times New Roman"/>
        </w:rPr>
        <w:t xml:space="preserve">Kritik ulama tradisional terhadap hermeneutika berakar pada dua dimensi utama, yaitu normatif dan epistemologis. Dalam dimensi normatif, hermeneutika dipandang tidak sesuai dengan syariat Islam karena pendekatan ini berasal dari tradisi Barat yang cenderung memisahkan aspek spiritual dari teks suci. Jalaluddin al-Mahalli dan Jalaluddin al-Suyuti, dalam </w:t>
      </w:r>
      <w:r w:rsidRPr="00DA113B">
        <w:rPr>
          <w:rFonts w:ascii="Times New Roman" w:hAnsi="Times New Roman" w:cs="Times New Roman"/>
          <w:i/>
          <w:iCs/>
        </w:rPr>
        <w:t>Tafsir al-Jalalayn</w:t>
      </w:r>
      <w:r w:rsidRPr="00DA113B">
        <w:rPr>
          <w:rFonts w:ascii="Times New Roman" w:hAnsi="Times New Roman" w:cs="Times New Roman"/>
        </w:rPr>
        <w:t>, menekankan pentingnya memahami Al-Qur'an dengan konteks bahasa Arab klasik dan tradisi Islam. Mereka memperingatkan bahwa pendekatan asing seperti hermeneutika tidak menghormati status Al-Qur'an sebagai wahyu ilahi dan dapat menyebabkan kesalahan tafsir</w:t>
      </w:r>
      <w:r w:rsidR="00691E36" w:rsidRPr="00D60793">
        <w:rPr>
          <w:rFonts w:ascii="Times New Roman" w:hAnsi="Times New Roman" w:cs="Times New Roman"/>
        </w:rPr>
        <w:t>.</w:t>
      </w:r>
      <w:r w:rsidR="00691E36" w:rsidRPr="00D60793">
        <w:rPr>
          <w:rStyle w:val="FootnoteReference"/>
          <w:rFonts w:ascii="Times New Roman" w:hAnsi="Times New Roman" w:cs="Times New Roman"/>
        </w:rPr>
        <w:footnoteReference w:id="22"/>
      </w:r>
    </w:p>
    <w:p w:rsidR="002F75D7" w:rsidRPr="00D60793" w:rsidRDefault="00DA113B" w:rsidP="00D60793">
      <w:pPr>
        <w:spacing w:line="276" w:lineRule="auto"/>
        <w:ind w:firstLine="720"/>
        <w:jc w:val="both"/>
        <w:rPr>
          <w:rFonts w:ascii="Times New Roman" w:hAnsi="Times New Roman" w:cs="Times New Roman"/>
        </w:rPr>
      </w:pPr>
      <w:r w:rsidRPr="00DA113B">
        <w:rPr>
          <w:rFonts w:ascii="Times New Roman" w:hAnsi="Times New Roman" w:cs="Times New Roman"/>
        </w:rPr>
        <w:t xml:space="preserve">Dari sisi epistemologis, ulama tradisional seperti Ibn Taymiyyah menyoroti bahwa hermeneutika mengabaikan prinsip dasar ilmu dalam Islam, yakni bahwa pengetahuan berasal dari Allah dan harus didekati dengan metode yang tunduk pada wahyu. Dalam </w:t>
      </w:r>
      <w:r w:rsidRPr="00DA113B">
        <w:rPr>
          <w:rFonts w:ascii="Times New Roman" w:hAnsi="Times New Roman" w:cs="Times New Roman"/>
          <w:i/>
          <w:iCs/>
        </w:rPr>
        <w:t>Muqaddimah Tafsir</w:t>
      </w:r>
      <w:r w:rsidRPr="00DA113B">
        <w:rPr>
          <w:rFonts w:ascii="Times New Roman" w:hAnsi="Times New Roman" w:cs="Times New Roman"/>
        </w:rPr>
        <w:t>, ia menegaskan bahwa tafsir yang sah harus bersumber dari Al-Qur'an itu sendiri, hadis Nabi, dan perkataan para sahabat. Ia mengkritik metode rasionalis seperti hermeneutika yang menempatkan akal di atas wahyu, yang menurutnya adalah bentuk penyimpangan epistemologis</w:t>
      </w:r>
      <w:r w:rsidR="00691E36" w:rsidRPr="00D60793">
        <w:rPr>
          <w:rFonts w:ascii="Times New Roman" w:hAnsi="Times New Roman" w:cs="Times New Roman"/>
        </w:rPr>
        <w:t>.</w:t>
      </w:r>
      <w:r w:rsidR="00691E36" w:rsidRPr="00D60793">
        <w:rPr>
          <w:rStyle w:val="FootnoteReference"/>
          <w:rFonts w:ascii="Times New Roman" w:hAnsi="Times New Roman" w:cs="Times New Roman"/>
        </w:rPr>
        <w:footnoteReference w:id="23"/>
      </w:r>
    </w:p>
    <w:p w:rsidR="002F75D7" w:rsidRPr="00D60793" w:rsidRDefault="00DA113B" w:rsidP="00D60793">
      <w:pPr>
        <w:spacing w:line="276" w:lineRule="auto"/>
        <w:ind w:firstLine="720"/>
        <w:jc w:val="both"/>
        <w:rPr>
          <w:rFonts w:ascii="Times New Roman" w:hAnsi="Times New Roman" w:cs="Times New Roman"/>
        </w:rPr>
      </w:pPr>
      <w:r w:rsidRPr="00DA113B">
        <w:rPr>
          <w:rFonts w:ascii="Times New Roman" w:hAnsi="Times New Roman" w:cs="Times New Roman"/>
        </w:rPr>
        <w:t xml:space="preserve">Kritik normatif yang diajukan oleh ulama tradisional menyoroti perbedaan mendasar antara hermeneutika Barat dan </w:t>
      </w:r>
      <w:r w:rsidRPr="00DA113B">
        <w:rPr>
          <w:rFonts w:ascii="Times New Roman" w:hAnsi="Times New Roman" w:cs="Times New Roman"/>
          <w:i/>
          <w:iCs/>
        </w:rPr>
        <w:t>usul tafsir</w:t>
      </w:r>
      <w:r w:rsidRPr="00DA113B">
        <w:rPr>
          <w:rFonts w:ascii="Times New Roman" w:hAnsi="Times New Roman" w:cs="Times New Roman"/>
        </w:rPr>
        <w:t xml:space="preserve"> Islam. Dalam tradisi Islam, metode tafsir bertujuan untuk menjaga otoritas wahyu dan memastikan bahwa interpretasi tidak menyimpang dari maqasid syariat. Jasser </w:t>
      </w:r>
      <w:r w:rsidRPr="00DA113B">
        <w:rPr>
          <w:rFonts w:ascii="Times New Roman" w:hAnsi="Times New Roman" w:cs="Times New Roman"/>
        </w:rPr>
        <w:lastRenderedPageBreak/>
        <w:t>Auda, seorang sarjana kontemporer, juga menegaskan bahwa hermeneutika sering kali gagal menangkap dimensi spiritual teks karena terlalu berfokus pada analisis historis</w:t>
      </w:r>
      <w:r w:rsidR="00691E36" w:rsidRPr="00D60793">
        <w:rPr>
          <w:rStyle w:val="FootnoteReference"/>
          <w:rFonts w:ascii="Times New Roman" w:hAnsi="Times New Roman" w:cs="Times New Roman"/>
        </w:rPr>
        <w:footnoteReference w:id="24"/>
      </w:r>
    </w:p>
    <w:p w:rsidR="002F75D7" w:rsidRPr="00D60793" w:rsidRDefault="00DA113B" w:rsidP="00D60793">
      <w:pPr>
        <w:spacing w:line="276" w:lineRule="auto"/>
        <w:ind w:firstLine="720"/>
        <w:jc w:val="both"/>
        <w:rPr>
          <w:rFonts w:ascii="Times New Roman" w:hAnsi="Times New Roman" w:cs="Times New Roman"/>
        </w:rPr>
      </w:pPr>
      <w:r w:rsidRPr="00DA113B">
        <w:rPr>
          <w:rFonts w:ascii="Times New Roman" w:hAnsi="Times New Roman" w:cs="Times New Roman"/>
        </w:rPr>
        <w:t xml:space="preserve">Sebaliknya, hermeneutika dalam konteks Barat menekankan penggunaan rasionalitas dan analisis antropologis, yang dianggap para ulama tradisional dapat merusak otoritas Al-Qur'an sebagai wahyu </w:t>
      </w:r>
      <w:r w:rsidR="00691E36" w:rsidRPr="00D60793">
        <w:rPr>
          <w:rFonts w:ascii="Times New Roman" w:hAnsi="Times New Roman" w:cs="Times New Roman"/>
        </w:rPr>
        <w:t>Ilahi.</w:t>
      </w:r>
      <w:r w:rsidR="00691E36" w:rsidRPr="00D60793">
        <w:rPr>
          <w:rStyle w:val="FootnoteReference"/>
          <w:rFonts w:ascii="Times New Roman" w:hAnsi="Times New Roman" w:cs="Times New Roman"/>
        </w:rPr>
        <w:footnoteReference w:id="25"/>
      </w:r>
      <w:r w:rsidR="00691E36" w:rsidRPr="00D60793">
        <w:rPr>
          <w:rFonts w:ascii="Times New Roman" w:hAnsi="Times New Roman" w:cs="Times New Roman"/>
        </w:rPr>
        <w:t xml:space="preserve"> </w:t>
      </w:r>
      <w:r w:rsidRPr="00DA113B">
        <w:rPr>
          <w:rFonts w:ascii="Times New Roman" w:hAnsi="Times New Roman" w:cs="Times New Roman"/>
        </w:rPr>
        <w:t>Literatur kontemporer juga mendukung kekhawatiran ini, menunjukkan bahwa hermeneutika sering kali menghasilkan interpretasi yang subjektif dan mengabaikan konteks teologis teks</w:t>
      </w:r>
      <w:r w:rsidR="00A85C01" w:rsidRPr="00D60793">
        <w:rPr>
          <w:rFonts w:ascii="Times New Roman" w:hAnsi="Times New Roman" w:cs="Times New Roman"/>
        </w:rPr>
        <w:t>.</w:t>
      </w:r>
      <w:r w:rsidRPr="00DA113B">
        <w:rPr>
          <w:rFonts w:ascii="Times New Roman" w:hAnsi="Times New Roman" w:cs="Times New Roman"/>
        </w:rPr>
        <w:t xml:space="preserve"> </w:t>
      </w:r>
    </w:p>
    <w:p w:rsidR="002F75D7" w:rsidRPr="00D60793" w:rsidRDefault="00DA113B" w:rsidP="00D60793">
      <w:pPr>
        <w:spacing w:line="276" w:lineRule="auto"/>
        <w:ind w:firstLine="720"/>
        <w:jc w:val="both"/>
        <w:rPr>
          <w:rFonts w:ascii="Times New Roman" w:hAnsi="Times New Roman" w:cs="Times New Roman"/>
        </w:rPr>
      </w:pPr>
      <w:r w:rsidRPr="00DA113B">
        <w:rPr>
          <w:rFonts w:ascii="Times New Roman" w:hAnsi="Times New Roman" w:cs="Times New Roman"/>
        </w:rPr>
        <w:t>Namun, pandangan ini tidak sepenuhnya menutup ruang untuk diskusi. Beberapa sarjana, seperti Khaled Abou El Fadl, menyarankan bahwa hermeneutika dapat menjadi alat yang bermanfaat jika digunakan untuk memperkaya pemahaman terhadap Al-Qur'an tanpa mengabaikan tradisi keilmuan Islam. Pendekatan ini menunjukkan bahwa hermeneutika tidak harus dipandang sebagai ancaman, tetapi dapat diadaptasi agar sesuai dengan kerangka epistemologi Islam.</w:t>
      </w:r>
    </w:p>
    <w:p w:rsidR="002F75D7" w:rsidRPr="00D60793" w:rsidRDefault="00DA113B" w:rsidP="00D60793">
      <w:pPr>
        <w:spacing w:line="276" w:lineRule="auto"/>
        <w:ind w:firstLine="720"/>
        <w:jc w:val="both"/>
        <w:rPr>
          <w:rFonts w:ascii="Times New Roman" w:hAnsi="Times New Roman" w:cs="Times New Roman"/>
        </w:rPr>
      </w:pPr>
      <w:r w:rsidRPr="00DA113B">
        <w:rPr>
          <w:rFonts w:ascii="Times New Roman" w:hAnsi="Times New Roman" w:cs="Times New Roman"/>
        </w:rPr>
        <w:t>Temuan penelitian ini menunjukkan bahwa kritik ulama tradisional terhadap hermeneutika berperan penting dalam mempertahankan otoritas wahyu dan nilai-nilai inti Islam. Dalam dimensi normatif, pendekatan ini melindungi Al-Qur'an dari potensi penyimpangan yang disebabkan oleh pengaruh metodologi asing seperti hermeneutika. Sementara itu, kritik epistemologis memberikan landasan untuk mempertahankan pendekatan berbasis wahyu sebagai sumber utama pengetahuan Islam.</w:t>
      </w:r>
    </w:p>
    <w:p w:rsidR="002F75D7" w:rsidRPr="00D60793" w:rsidRDefault="00DA113B" w:rsidP="00D60793">
      <w:pPr>
        <w:spacing w:line="276" w:lineRule="auto"/>
        <w:ind w:firstLine="720"/>
        <w:jc w:val="both"/>
        <w:rPr>
          <w:rFonts w:ascii="Times New Roman" w:hAnsi="Times New Roman" w:cs="Times New Roman"/>
        </w:rPr>
      </w:pPr>
      <w:r w:rsidRPr="00DA113B">
        <w:rPr>
          <w:rFonts w:ascii="Times New Roman" w:hAnsi="Times New Roman" w:cs="Times New Roman"/>
        </w:rPr>
        <w:t xml:space="preserve">Implikasi praktis dari temuan ini mencakup kebutuhan untuk memperkuat pendidikan tafsir berbasis </w:t>
      </w:r>
      <w:r w:rsidRPr="00DA113B">
        <w:rPr>
          <w:rFonts w:ascii="Times New Roman" w:hAnsi="Times New Roman" w:cs="Times New Roman"/>
          <w:i/>
          <w:iCs/>
        </w:rPr>
        <w:t>usul al-Qur'an</w:t>
      </w:r>
      <w:r w:rsidRPr="00DA113B">
        <w:rPr>
          <w:rFonts w:ascii="Times New Roman" w:hAnsi="Times New Roman" w:cs="Times New Roman"/>
        </w:rPr>
        <w:t>, termasuk penguasaan kaidah lughawiyah dan maqasid syariat. Hal ini penting untuk memastikan bahwa tafsir Al-Qur'an tetap relevan dengan perkembangan zaman tanpa kehilangan esensi spiritual dan teologisnya.</w:t>
      </w:r>
    </w:p>
    <w:p w:rsidR="00E41FD3" w:rsidRPr="00E41FD3" w:rsidRDefault="00DA113B" w:rsidP="00D60793">
      <w:pPr>
        <w:spacing w:line="276" w:lineRule="auto"/>
        <w:ind w:firstLine="720"/>
        <w:jc w:val="both"/>
        <w:rPr>
          <w:rFonts w:ascii="Times New Roman" w:hAnsi="Times New Roman" w:cs="Times New Roman"/>
        </w:rPr>
      </w:pPr>
      <w:r w:rsidRPr="00DA113B">
        <w:rPr>
          <w:rFonts w:ascii="Times New Roman" w:hAnsi="Times New Roman" w:cs="Times New Roman"/>
        </w:rPr>
        <w:t>Selain itu, temuan ini juga membuka peluang untuk dialog metodologis antara pendekatan tradisional dan modern. Dengan mengintegrasikan prinsip-prinsip hermeneutika ke dalam kerangka epistemologi Islam, interpretasi Al-Qur'an dapat lebih responsif terhadap tantangan kontemporer, seperti isu-isu sosial, gender, dan keadilan. Pendekatan ini, meskipun menantang, dapat menciptakan kerangka kerja tafsir yang lebih holistik dan relevan bagi umat Muslim modern tanpa mengorbankan prinsip-prinsip Islam.</w:t>
      </w:r>
    </w:p>
    <w:p w:rsidR="00E41FD3" w:rsidRPr="00E41FD3" w:rsidRDefault="00E41FD3" w:rsidP="00D60793">
      <w:pPr>
        <w:spacing w:line="276" w:lineRule="auto"/>
        <w:jc w:val="both"/>
        <w:rPr>
          <w:rFonts w:ascii="Times New Roman" w:hAnsi="Times New Roman" w:cs="Times New Roman"/>
          <w:b/>
          <w:bCs/>
        </w:rPr>
      </w:pPr>
      <w:r w:rsidRPr="00E41FD3">
        <w:rPr>
          <w:rFonts w:ascii="Times New Roman" w:hAnsi="Times New Roman" w:cs="Times New Roman"/>
          <w:b/>
          <w:bCs/>
        </w:rPr>
        <w:t>Pandangan Ulama Kontemporer terhadap Hermeneutika: Pendekatan Fleksibel atau Kritik Konstruktif</w:t>
      </w:r>
    </w:p>
    <w:p w:rsidR="002F75D7" w:rsidRPr="00D60793" w:rsidRDefault="00C228A4" w:rsidP="00D60793">
      <w:pPr>
        <w:spacing w:line="276" w:lineRule="auto"/>
        <w:ind w:firstLine="720"/>
        <w:jc w:val="both"/>
        <w:rPr>
          <w:rFonts w:ascii="Times New Roman" w:hAnsi="Times New Roman" w:cs="Times New Roman"/>
        </w:rPr>
      </w:pPr>
      <w:r w:rsidRPr="00C228A4">
        <w:rPr>
          <w:rFonts w:ascii="Times New Roman" w:hAnsi="Times New Roman" w:cs="Times New Roman"/>
        </w:rPr>
        <w:t xml:space="preserve">Pandangan ulama kontemporer terhadap hermeneutika mencerminkan pendekatan yang lebih fleksibel dibandingkan tradisi tafsir klasik. Fazlur Rahman, melalui metode </w:t>
      </w:r>
      <w:r w:rsidRPr="00C228A4">
        <w:rPr>
          <w:rFonts w:ascii="Times New Roman" w:hAnsi="Times New Roman" w:cs="Times New Roman"/>
          <w:i/>
          <w:iCs/>
        </w:rPr>
        <w:t>double movement</w:t>
      </w:r>
      <w:r w:rsidRPr="00C228A4">
        <w:rPr>
          <w:rFonts w:ascii="Times New Roman" w:hAnsi="Times New Roman" w:cs="Times New Roman"/>
        </w:rPr>
        <w:t xml:space="preserve">, menekankan pentingnya memahami latar sosial-historis wahyu Al-Qur'an sebelum menerapkannya dalam konteks modern. Dalam </w:t>
      </w:r>
      <w:r w:rsidRPr="00C228A4">
        <w:rPr>
          <w:rFonts w:ascii="Times New Roman" w:hAnsi="Times New Roman" w:cs="Times New Roman"/>
          <w:i/>
          <w:iCs/>
        </w:rPr>
        <w:t>Islam and Modernity</w:t>
      </w:r>
      <w:r w:rsidRPr="00C228A4">
        <w:rPr>
          <w:rFonts w:ascii="Times New Roman" w:hAnsi="Times New Roman" w:cs="Times New Roman"/>
        </w:rPr>
        <w:t>, ia menjelaskan bahwa pemahaman teks harus dimulai dengan analisis konteks sejarahnya, kemudian diekstraksi nilai-nilai universalnya untuk relevansi di masa kini</w:t>
      </w:r>
      <w:r w:rsidR="00DD7DA5" w:rsidRPr="00D60793">
        <w:rPr>
          <w:rFonts w:ascii="Times New Roman" w:hAnsi="Times New Roman" w:cs="Times New Roman"/>
        </w:rPr>
        <w:t>.</w:t>
      </w:r>
      <w:r w:rsidR="00DD7DA5" w:rsidRPr="00D60793">
        <w:rPr>
          <w:rStyle w:val="FootnoteReference"/>
          <w:rFonts w:ascii="Times New Roman" w:hAnsi="Times New Roman" w:cs="Times New Roman"/>
        </w:rPr>
        <w:footnoteReference w:id="26"/>
      </w:r>
      <w:r w:rsidR="00DD7DA5" w:rsidRPr="00D60793">
        <w:rPr>
          <w:rFonts w:ascii="Times New Roman" w:hAnsi="Times New Roman" w:cs="Times New Roman"/>
        </w:rPr>
        <w:t xml:space="preserve"> </w:t>
      </w:r>
      <w:r w:rsidRPr="00C228A4">
        <w:rPr>
          <w:rFonts w:ascii="Times New Roman" w:hAnsi="Times New Roman" w:cs="Times New Roman"/>
        </w:rPr>
        <w:t>Metode ini memungkinkan tafsir Al-Qur'an untuk tetap berhubungan dengan tantangan kontemporer tanpa mengorbankan otoritas ilahiahnya.</w:t>
      </w:r>
    </w:p>
    <w:p w:rsidR="002F75D7" w:rsidRPr="00D60793" w:rsidRDefault="00C228A4" w:rsidP="00D60793">
      <w:pPr>
        <w:spacing w:line="276" w:lineRule="auto"/>
        <w:ind w:firstLine="720"/>
        <w:jc w:val="both"/>
        <w:rPr>
          <w:rFonts w:ascii="Times New Roman" w:hAnsi="Times New Roman" w:cs="Times New Roman"/>
        </w:rPr>
      </w:pPr>
      <w:r w:rsidRPr="00C228A4">
        <w:rPr>
          <w:rFonts w:ascii="Times New Roman" w:hAnsi="Times New Roman" w:cs="Times New Roman"/>
        </w:rPr>
        <w:lastRenderedPageBreak/>
        <w:t xml:space="preserve">Di sisi lain, Nasr Hamid Abu Zayd mengusulkan pendekatan kritis terhadap teks dengan melihat Al-Qur'an sebagai produk budaya yang berkembang. Dalam </w:t>
      </w:r>
      <w:r w:rsidRPr="00C228A4">
        <w:rPr>
          <w:rFonts w:ascii="Times New Roman" w:hAnsi="Times New Roman" w:cs="Times New Roman"/>
          <w:i/>
          <w:iCs/>
        </w:rPr>
        <w:t>Al-Nash wa al-Sultan</w:t>
      </w:r>
      <w:r w:rsidRPr="00C228A4">
        <w:rPr>
          <w:rFonts w:ascii="Times New Roman" w:hAnsi="Times New Roman" w:cs="Times New Roman"/>
        </w:rPr>
        <w:t>, ia menyoroti perlunya analisis terhadap pengaruh sosial dan budaya yang melingkupi wahyu, namun pendekatan ini memicu kontroversi karena dianggap mengurangi aspek sakral Al-Qur'an</w:t>
      </w:r>
      <w:r w:rsidR="00DD7DA5" w:rsidRPr="00D60793">
        <w:rPr>
          <w:rFonts w:ascii="Times New Roman" w:hAnsi="Times New Roman" w:cs="Times New Roman"/>
        </w:rPr>
        <w:t>.</w:t>
      </w:r>
      <w:r w:rsidR="00DD7DA5" w:rsidRPr="00D60793">
        <w:rPr>
          <w:rStyle w:val="FootnoteReference"/>
          <w:rFonts w:ascii="Times New Roman" w:hAnsi="Times New Roman" w:cs="Times New Roman"/>
        </w:rPr>
        <w:footnoteReference w:id="27"/>
      </w:r>
      <w:r w:rsidR="00DD7DA5" w:rsidRPr="00D60793">
        <w:rPr>
          <w:rFonts w:ascii="Times New Roman" w:hAnsi="Times New Roman" w:cs="Times New Roman"/>
        </w:rPr>
        <w:t xml:space="preserve"> </w:t>
      </w:r>
      <w:r w:rsidRPr="00C228A4">
        <w:rPr>
          <w:rFonts w:ascii="Times New Roman" w:hAnsi="Times New Roman" w:cs="Times New Roman"/>
        </w:rPr>
        <w:t xml:space="preserve">Sementara itu, Daniel Brown dalam </w:t>
      </w:r>
      <w:r w:rsidRPr="00C228A4">
        <w:rPr>
          <w:rFonts w:ascii="Times New Roman" w:hAnsi="Times New Roman" w:cs="Times New Roman"/>
          <w:i/>
          <w:iCs/>
        </w:rPr>
        <w:t>Rethinking Tradition in Modern Islamic Thought</w:t>
      </w:r>
      <w:r w:rsidRPr="00C228A4">
        <w:rPr>
          <w:rFonts w:ascii="Times New Roman" w:hAnsi="Times New Roman" w:cs="Times New Roman"/>
        </w:rPr>
        <w:t xml:space="preserve"> memberikan analisis bahwa usaha para sarjana seperti Rahman dan Abu Zayd bertujuan untuk menjembatani tradisi dan modernitas, meskipun sering menghadapi tantangan dari paradigma tafsir tradisional.</w:t>
      </w:r>
    </w:p>
    <w:p w:rsidR="002F75D7" w:rsidRPr="00D60793" w:rsidRDefault="00C228A4" w:rsidP="00D60793">
      <w:pPr>
        <w:spacing w:line="276" w:lineRule="auto"/>
        <w:ind w:firstLine="720"/>
        <w:jc w:val="both"/>
        <w:rPr>
          <w:rFonts w:ascii="Times New Roman" w:hAnsi="Times New Roman" w:cs="Times New Roman"/>
        </w:rPr>
      </w:pPr>
      <w:r w:rsidRPr="00C228A4">
        <w:rPr>
          <w:rFonts w:ascii="Times New Roman" w:hAnsi="Times New Roman" w:cs="Times New Roman"/>
        </w:rPr>
        <w:t xml:space="preserve">Pendekatan fleksibel yang ditawarkan oleh Fazlur Rahman menunjukkan keberhasilan dalam menciptakan kerangka kerja yang memungkinkan Al-Qur'an tetap relevan di era modern. Metode </w:t>
      </w:r>
      <w:r w:rsidRPr="00C228A4">
        <w:rPr>
          <w:rFonts w:ascii="Times New Roman" w:hAnsi="Times New Roman" w:cs="Times New Roman"/>
          <w:i/>
          <w:iCs/>
        </w:rPr>
        <w:t>double movement</w:t>
      </w:r>
      <w:r w:rsidRPr="00C228A4">
        <w:rPr>
          <w:rFonts w:ascii="Times New Roman" w:hAnsi="Times New Roman" w:cs="Times New Roman"/>
        </w:rPr>
        <w:t xml:space="preserve"> yang menggabungkan analisis historis dengan penerapan kontekstual dinilai efektif untuk menjawab isu-isu kontemporer, seperti hak asasi manusia dan kesetaraan gender</w:t>
      </w:r>
      <w:r w:rsidR="00DD7DA5" w:rsidRPr="00D60793">
        <w:rPr>
          <w:rFonts w:ascii="Times New Roman" w:hAnsi="Times New Roman" w:cs="Times New Roman"/>
        </w:rPr>
        <w:t>.</w:t>
      </w:r>
      <w:r w:rsidR="00DD7DA5" w:rsidRPr="00D60793">
        <w:rPr>
          <w:rStyle w:val="FootnoteReference"/>
          <w:rFonts w:ascii="Times New Roman" w:hAnsi="Times New Roman" w:cs="Times New Roman"/>
        </w:rPr>
        <w:footnoteReference w:id="28"/>
      </w:r>
      <w:r w:rsidRPr="00C228A4">
        <w:rPr>
          <w:rFonts w:ascii="Times New Roman" w:hAnsi="Times New Roman" w:cs="Times New Roman"/>
        </w:rPr>
        <w:t xml:space="preserve"> Namun, metode ini juga menghadapi kritik karena dianggap membuka pintu terhadap interpretasi yang terlalu longgar dan berpotensi mengaburkan makna asli teks.</w:t>
      </w:r>
    </w:p>
    <w:p w:rsidR="002F75D7" w:rsidRPr="00D60793" w:rsidRDefault="00C228A4" w:rsidP="00D60793">
      <w:pPr>
        <w:spacing w:line="276" w:lineRule="auto"/>
        <w:ind w:firstLine="720"/>
        <w:jc w:val="both"/>
        <w:rPr>
          <w:rFonts w:ascii="Times New Roman" w:hAnsi="Times New Roman" w:cs="Times New Roman"/>
        </w:rPr>
      </w:pPr>
      <w:r w:rsidRPr="00C228A4">
        <w:rPr>
          <w:rFonts w:ascii="Times New Roman" w:hAnsi="Times New Roman" w:cs="Times New Roman"/>
        </w:rPr>
        <w:t>Sebaliknya, pendekatan Abu Zayd yang menekankan dimensi budaya dan sosial dalam teks Al-Qur'an menghadapi resistensi yang lebih besar. Pemikirannya dianggap menantang ortodoksi Islam, khususnya terkait status Al-Qur'an sebagai wahyu ilahi</w:t>
      </w:r>
      <w:r w:rsidR="00DD7DA5" w:rsidRPr="00D60793">
        <w:rPr>
          <w:rStyle w:val="FootnoteReference"/>
          <w:rFonts w:ascii="Times New Roman" w:hAnsi="Times New Roman" w:cs="Times New Roman"/>
        </w:rPr>
        <w:footnoteReference w:id="29"/>
      </w:r>
      <w:r w:rsidRPr="00C228A4">
        <w:rPr>
          <w:rFonts w:ascii="Times New Roman" w:hAnsi="Times New Roman" w:cs="Times New Roman"/>
        </w:rPr>
        <w:t xml:space="preserve"> Meski demikian, pandangannya membuka ruang diskusi yang signifikan terkait pluralitas interpretasi, yang diabaikan oleh pendekatan tradisional. Analisis Daniel Brown menunjukkan bahwa meskipun kontroversial, gagasan Abu Zayd memberikan kontribusi penting dalam merekonstruksi metodologi tafsir moder</w:t>
      </w:r>
      <w:r w:rsidR="00DD7DA5" w:rsidRPr="00D60793">
        <w:rPr>
          <w:rFonts w:ascii="Times New Roman" w:hAnsi="Times New Roman" w:cs="Times New Roman"/>
        </w:rPr>
        <w:t>n</w:t>
      </w:r>
      <w:r w:rsidRPr="00C228A4">
        <w:rPr>
          <w:rFonts w:ascii="Times New Roman" w:hAnsi="Times New Roman" w:cs="Times New Roman"/>
        </w:rPr>
        <w:t>.</w:t>
      </w:r>
    </w:p>
    <w:p w:rsidR="002F75D7" w:rsidRPr="00D60793" w:rsidRDefault="00C228A4" w:rsidP="00D60793">
      <w:pPr>
        <w:spacing w:line="276" w:lineRule="auto"/>
        <w:ind w:firstLine="720"/>
        <w:jc w:val="both"/>
        <w:rPr>
          <w:rFonts w:ascii="Times New Roman" w:hAnsi="Times New Roman" w:cs="Times New Roman"/>
        </w:rPr>
      </w:pPr>
      <w:r w:rsidRPr="00C228A4">
        <w:rPr>
          <w:rFonts w:ascii="Times New Roman" w:hAnsi="Times New Roman" w:cs="Times New Roman"/>
        </w:rPr>
        <w:t xml:space="preserve">Temuan ini menggarisbawahi pentingnya fleksibilitas dalam pendekatan tafsir Al-Qur'an yang kontekstual. Metode </w:t>
      </w:r>
      <w:r w:rsidRPr="00C228A4">
        <w:rPr>
          <w:rFonts w:ascii="Times New Roman" w:hAnsi="Times New Roman" w:cs="Times New Roman"/>
          <w:i/>
          <w:iCs/>
        </w:rPr>
        <w:t>double movement</w:t>
      </w:r>
      <w:r w:rsidRPr="00C228A4">
        <w:rPr>
          <w:rFonts w:ascii="Times New Roman" w:hAnsi="Times New Roman" w:cs="Times New Roman"/>
        </w:rPr>
        <w:t xml:space="preserve"> Rahman memberikan kerangka yang memungkinkan nilai-nilai moral universal Al-Qur'an untuk terus relevan di tengah dinamika sosial-politik modern. Dengan memadukan analisis historis dan penerapan kontemporer, metode ini tidak hanya relevan tetapi juga memperkuat peran Al-Qur'an sebagai pedoman hidup umat Muslim.</w:t>
      </w:r>
    </w:p>
    <w:p w:rsidR="002F75D7" w:rsidRPr="00D60793" w:rsidRDefault="00C228A4" w:rsidP="00D60793">
      <w:pPr>
        <w:spacing w:line="276" w:lineRule="auto"/>
        <w:ind w:firstLine="720"/>
        <w:jc w:val="both"/>
        <w:rPr>
          <w:rFonts w:ascii="Times New Roman" w:hAnsi="Times New Roman" w:cs="Times New Roman"/>
        </w:rPr>
      </w:pPr>
      <w:r w:rsidRPr="00C228A4">
        <w:rPr>
          <w:rFonts w:ascii="Times New Roman" w:hAnsi="Times New Roman" w:cs="Times New Roman"/>
        </w:rPr>
        <w:t>Pendekatan Abu Zayd, meskipun menuai kontroversi, menantang status quo dalam tafsir tradisional dan memperluas wacana tentang bagaimana teks-teks suci dapat dipahami secara dinamis. Perspektif ini memiliki implikasi praktis yang signifikan, terutama dalam menanggapi tantangan intelektual modern seperti globalisasi, kesetaraan gender, dan keadilan sosial.</w:t>
      </w:r>
    </w:p>
    <w:p w:rsidR="002F75D7" w:rsidRPr="00D60793" w:rsidRDefault="00C228A4" w:rsidP="00D60793">
      <w:pPr>
        <w:spacing w:line="276" w:lineRule="auto"/>
        <w:ind w:firstLine="720"/>
        <w:jc w:val="both"/>
        <w:rPr>
          <w:rFonts w:ascii="Times New Roman" w:hAnsi="Times New Roman" w:cs="Times New Roman"/>
        </w:rPr>
      </w:pPr>
      <w:r w:rsidRPr="00C228A4">
        <w:rPr>
          <w:rFonts w:ascii="Times New Roman" w:hAnsi="Times New Roman" w:cs="Times New Roman"/>
        </w:rPr>
        <w:t>Implikasi praktis lainnya adalah perlunya dialog lintas pendekatan antara tafsir tradisional dan kontemporer. Kombinasi metode Rahman yang berbasis konteks dengan perhatian Abu Zayd pada dinamika sosial dapat menghasilkan kerangka kerja tafsir yang lebih holistik dan adaptif terhadap perubahan zaman. Hal ini sejalan dengan pandangan Daniel Brown bahwa rekonstruksi tradisi tafsir adalah kunci untuk memastikan bahwa Al-Qur'an tetap relevan tanpa kehilangan otoritas dan keilahiannya.</w:t>
      </w:r>
    </w:p>
    <w:p w:rsidR="00E41FD3" w:rsidRPr="00E41FD3" w:rsidRDefault="00C228A4" w:rsidP="00D60793">
      <w:pPr>
        <w:spacing w:line="276" w:lineRule="auto"/>
        <w:ind w:firstLine="720"/>
        <w:jc w:val="both"/>
        <w:rPr>
          <w:rFonts w:ascii="Times New Roman" w:hAnsi="Times New Roman" w:cs="Times New Roman"/>
        </w:rPr>
      </w:pPr>
      <w:r w:rsidRPr="00C228A4">
        <w:rPr>
          <w:rFonts w:ascii="Times New Roman" w:hAnsi="Times New Roman" w:cs="Times New Roman"/>
        </w:rPr>
        <w:t xml:space="preserve">Temuan ini menegaskan bahwa integrasi pendekatan fleksibel dan kritik konstruktif berpotensi menciptakan metodologi tafsir yang lebih inklusif, relevan, dan tetap setia pada prinsip epistemologi </w:t>
      </w:r>
      <w:r w:rsidRPr="00C228A4">
        <w:rPr>
          <w:rFonts w:ascii="Times New Roman" w:hAnsi="Times New Roman" w:cs="Times New Roman"/>
        </w:rPr>
        <w:lastRenderedPageBreak/>
        <w:t>Islam. Dialog antara tradisi dan modernitas menjadi kunci untuk menjawab tantangan intelektual umat Muslim di era globalisasi.</w:t>
      </w:r>
    </w:p>
    <w:p w:rsidR="00E41FD3" w:rsidRPr="00E41FD3" w:rsidRDefault="00E41FD3" w:rsidP="00D60793">
      <w:pPr>
        <w:spacing w:line="276" w:lineRule="auto"/>
        <w:jc w:val="both"/>
        <w:rPr>
          <w:rFonts w:ascii="Times New Roman" w:hAnsi="Times New Roman" w:cs="Times New Roman"/>
          <w:b/>
          <w:bCs/>
        </w:rPr>
      </w:pPr>
      <w:r w:rsidRPr="00E41FD3">
        <w:rPr>
          <w:rFonts w:ascii="Times New Roman" w:hAnsi="Times New Roman" w:cs="Times New Roman"/>
          <w:b/>
          <w:bCs/>
        </w:rPr>
        <w:t>Hermeneutika dan Kontekstualisasi Tafsir: Potensi dan Tantangan</w:t>
      </w:r>
    </w:p>
    <w:p w:rsidR="002F75D7" w:rsidRPr="00D60793" w:rsidRDefault="00C228A4" w:rsidP="00D60793">
      <w:pPr>
        <w:spacing w:line="276" w:lineRule="auto"/>
        <w:ind w:firstLine="720"/>
        <w:jc w:val="both"/>
        <w:rPr>
          <w:rFonts w:ascii="Times New Roman" w:hAnsi="Times New Roman" w:cs="Times New Roman"/>
        </w:rPr>
      </w:pPr>
      <w:r w:rsidRPr="00C228A4">
        <w:rPr>
          <w:rFonts w:ascii="Times New Roman" w:hAnsi="Times New Roman" w:cs="Times New Roman"/>
        </w:rPr>
        <w:t xml:space="preserve">Hermeneutika menawarkan kerangka interpretatif yang memungkinkan Al-Qur'an dipahami secara lebih kontekstual, memperhatikan aspek historis, sosial, dan budaya saat teks tersebut diturunkan. Pendekatan ini menjadi penting dalam menjawab isu-isu kontemporer yang tidak secara eksplisit dibahas dalam teks suci. Sebagai contoh, Jasser Auda dalam </w:t>
      </w:r>
      <w:r w:rsidRPr="00C228A4">
        <w:rPr>
          <w:rFonts w:ascii="Times New Roman" w:hAnsi="Times New Roman" w:cs="Times New Roman"/>
          <w:i/>
          <w:iCs/>
        </w:rPr>
        <w:t>Maqasid al-Shariah as Philosophy of Islamic Law</w:t>
      </w:r>
      <w:r w:rsidRPr="00C228A4">
        <w:rPr>
          <w:rFonts w:ascii="Times New Roman" w:hAnsi="Times New Roman" w:cs="Times New Roman"/>
        </w:rPr>
        <w:t xml:space="preserve"> menekankan bahwa pendekatan hermeneutika dapat digunakan untuk memahami tujuan syariat (</w:t>
      </w:r>
      <w:r w:rsidRPr="00C228A4">
        <w:rPr>
          <w:rFonts w:ascii="Times New Roman" w:hAnsi="Times New Roman" w:cs="Times New Roman"/>
          <w:i/>
          <w:iCs/>
        </w:rPr>
        <w:t>maqasid al-shari'ah</w:t>
      </w:r>
      <w:r w:rsidRPr="00C228A4">
        <w:rPr>
          <w:rFonts w:ascii="Times New Roman" w:hAnsi="Times New Roman" w:cs="Times New Roman"/>
        </w:rPr>
        <w:t>), menjadikannya relevan dengan kebutuhan masyarakat modern</w:t>
      </w:r>
      <w:r w:rsidR="00C63F36" w:rsidRPr="00D60793">
        <w:rPr>
          <w:rFonts w:ascii="Times New Roman" w:hAnsi="Times New Roman" w:cs="Times New Roman"/>
        </w:rPr>
        <w:t>.</w:t>
      </w:r>
      <w:r w:rsidR="00C63F36" w:rsidRPr="00D60793">
        <w:rPr>
          <w:rStyle w:val="FootnoteReference"/>
          <w:rFonts w:ascii="Times New Roman" w:hAnsi="Times New Roman" w:cs="Times New Roman"/>
        </w:rPr>
        <w:footnoteReference w:id="30"/>
      </w:r>
    </w:p>
    <w:p w:rsidR="002F75D7" w:rsidRPr="00D60793" w:rsidRDefault="00C228A4" w:rsidP="00D60793">
      <w:pPr>
        <w:spacing w:line="276" w:lineRule="auto"/>
        <w:ind w:firstLine="720"/>
        <w:jc w:val="both"/>
        <w:rPr>
          <w:rFonts w:ascii="Times New Roman" w:hAnsi="Times New Roman" w:cs="Times New Roman"/>
        </w:rPr>
      </w:pPr>
      <w:r w:rsidRPr="00C228A4">
        <w:rPr>
          <w:rFonts w:ascii="Times New Roman" w:hAnsi="Times New Roman" w:cs="Times New Roman"/>
        </w:rPr>
        <w:t xml:space="preserve">Namun, potensi hermeneutika ini tidak lepas dari tantangan besar, terutama dalam menjaga otentisitas Al-Qur'an sebagai wahyu ilahi. Banyak ulama tradisional khawatir bahwa hermeneutika dapat memindahkan fokus interpretasi dari dimensi ilahiah kepada perspektif manusiawi, yang dapat mengurangi otoritas teks suci. Kekhawatiran ini juga disoroti dalam </w:t>
      </w:r>
      <w:r w:rsidRPr="00C228A4">
        <w:rPr>
          <w:rFonts w:ascii="Times New Roman" w:hAnsi="Times New Roman" w:cs="Times New Roman"/>
          <w:i/>
          <w:iCs/>
        </w:rPr>
        <w:t>Approaches to the Qur'an</w:t>
      </w:r>
      <w:r w:rsidRPr="00C228A4">
        <w:rPr>
          <w:rFonts w:ascii="Times New Roman" w:hAnsi="Times New Roman" w:cs="Times New Roman"/>
        </w:rPr>
        <w:t>, di mana Abdul-Kader A. Shareef menekankan perlunya kehati-hatian dalam menerapkan metode hermeneutika agar tidak merusak integritas teks</w:t>
      </w:r>
      <w:r w:rsidR="00C63F36" w:rsidRPr="00D60793">
        <w:rPr>
          <w:rFonts w:ascii="Times New Roman" w:hAnsi="Times New Roman" w:cs="Times New Roman"/>
        </w:rPr>
        <w:t>.</w:t>
      </w:r>
      <w:r w:rsidR="00C63F36" w:rsidRPr="00D60793">
        <w:rPr>
          <w:rStyle w:val="FootnoteReference"/>
          <w:rFonts w:ascii="Times New Roman" w:hAnsi="Times New Roman" w:cs="Times New Roman"/>
        </w:rPr>
        <w:footnoteReference w:id="31"/>
      </w:r>
    </w:p>
    <w:p w:rsidR="002F75D7" w:rsidRPr="00D60793" w:rsidRDefault="00C228A4" w:rsidP="00D60793">
      <w:pPr>
        <w:spacing w:line="276" w:lineRule="auto"/>
        <w:ind w:firstLine="720"/>
        <w:jc w:val="both"/>
        <w:rPr>
          <w:rFonts w:ascii="Times New Roman" w:hAnsi="Times New Roman" w:cs="Times New Roman"/>
        </w:rPr>
      </w:pPr>
      <w:r w:rsidRPr="00C228A4">
        <w:rPr>
          <w:rFonts w:ascii="Times New Roman" w:hAnsi="Times New Roman" w:cs="Times New Roman"/>
        </w:rPr>
        <w:t xml:space="preserve">Potensi hermeneutika dalam kontekstualisasi tafsir terlihat dari keberhasilannya menjembatani nilai-nilai universal Al-Qur'an dengan tantangan modern. Hamka, dalam </w:t>
      </w:r>
      <w:r w:rsidRPr="00C228A4">
        <w:rPr>
          <w:rFonts w:ascii="Times New Roman" w:hAnsi="Times New Roman" w:cs="Times New Roman"/>
          <w:i/>
          <w:iCs/>
        </w:rPr>
        <w:t>Tafsir Al-Azhar</w:t>
      </w:r>
      <w:r w:rsidRPr="00C228A4">
        <w:rPr>
          <w:rFonts w:ascii="Times New Roman" w:hAnsi="Times New Roman" w:cs="Times New Roman"/>
        </w:rPr>
        <w:t>, menunjukkan bagaimana pendekatan kontekstual dapat mengintegrasikan kearifan lokal dengan ajaran Islam untuk menciptakan tafsir yang relevan dengan masyarakat Indonesia. Tafsir ini mengedepankan prinsip moderasi dan aplikasi praktis nilai-nilai Islam di tengah realitas sosial</w:t>
      </w:r>
      <w:r w:rsidR="00C63F36" w:rsidRPr="00D60793">
        <w:rPr>
          <w:rFonts w:ascii="Times New Roman" w:hAnsi="Times New Roman" w:cs="Times New Roman"/>
        </w:rPr>
        <w:t>.</w:t>
      </w:r>
      <w:r w:rsidR="00C63F36" w:rsidRPr="00D60793">
        <w:rPr>
          <w:rStyle w:val="FootnoteReference"/>
          <w:rFonts w:ascii="Times New Roman" w:hAnsi="Times New Roman" w:cs="Times New Roman"/>
        </w:rPr>
        <w:footnoteReference w:id="32"/>
      </w:r>
    </w:p>
    <w:p w:rsidR="002F75D7" w:rsidRPr="00D60793" w:rsidRDefault="00C228A4" w:rsidP="00D60793">
      <w:pPr>
        <w:spacing w:line="276" w:lineRule="auto"/>
        <w:ind w:firstLine="720"/>
        <w:jc w:val="both"/>
        <w:rPr>
          <w:rFonts w:ascii="Times New Roman" w:hAnsi="Times New Roman" w:cs="Times New Roman"/>
        </w:rPr>
      </w:pPr>
      <w:r w:rsidRPr="00C228A4">
        <w:rPr>
          <w:rFonts w:ascii="Times New Roman" w:hAnsi="Times New Roman" w:cs="Times New Roman"/>
        </w:rPr>
        <w:t>Namun, kritik terhadap hermeneutika sebagai metode tafsir juga tidak dapat diabaikan. Abdullah Saeed menunjukkan bahwa interpretasi yang terlalu menekankan pada konteks historis dapat berisiko mengubah makna asli wahyu, seperti dalam pembahasan tentang peran gender dalam QS. An-Nisa 4:34</w:t>
      </w:r>
      <w:r w:rsidR="00C63F36" w:rsidRPr="00D60793">
        <w:rPr>
          <w:rFonts w:ascii="Times New Roman" w:hAnsi="Times New Roman" w:cs="Times New Roman"/>
        </w:rPr>
        <w:t>.</w:t>
      </w:r>
      <w:r w:rsidR="00C63F36" w:rsidRPr="00D60793">
        <w:rPr>
          <w:rStyle w:val="FootnoteReference"/>
          <w:rFonts w:ascii="Times New Roman" w:hAnsi="Times New Roman" w:cs="Times New Roman"/>
        </w:rPr>
        <w:footnoteReference w:id="33"/>
      </w:r>
      <w:r w:rsidRPr="00C228A4">
        <w:rPr>
          <w:rFonts w:ascii="Times New Roman" w:hAnsi="Times New Roman" w:cs="Times New Roman"/>
        </w:rPr>
        <w:t>Tantangan ini menjadi semakin nyata ketika hermeneutika diaplikasikan tanpa memperhatikan prinsip-prinsip dasar epistemologi Islam. Azyumardi Azra, dalam kajiannya tentang tafsir modern, menegaskan bahwa pendekatan hermeneutika harus tetap tunduk pada kerangka tradisional agar tidak menyimpang dari esensi wahyu.</w:t>
      </w:r>
    </w:p>
    <w:p w:rsidR="002F75D7" w:rsidRPr="00D60793" w:rsidRDefault="00C228A4" w:rsidP="00D60793">
      <w:pPr>
        <w:spacing w:line="276" w:lineRule="auto"/>
        <w:ind w:firstLine="720"/>
        <w:jc w:val="both"/>
        <w:rPr>
          <w:rFonts w:ascii="Times New Roman" w:hAnsi="Times New Roman" w:cs="Times New Roman"/>
        </w:rPr>
      </w:pPr>
      <w:r w:rsidRPr="00C228A4">
        <w:rPr>
          <w:rFonts w:ascii="Times New Roman" w:hAnsi="Times New Roman" w:cs="Times New Roman"/>
        </w:rPr>
        <w:t xml:space="preserve">Temuan ini menunjukkan bahwa hermeneutika memiliki potensi besar dalam menjawab tantangan zaman modern melalui tafsir yang relevan, tanpa mengabaikan nilai-nilai ilahiah. Pendekatan seperti </w:t>
      </w:r>
      <w:r w:rsidRPr="00C228A4">
        <w:rPr>
          <w:rFonts w:ascii="Times New Roman" w:hAnsi="Times New Roman" w:cs="Times New Roman"/>
          <w:i/>
          <w:iCs/>
        </w:rPr>
        <w:t>Tafsir Maqasidi</w:t>
      </w:r>
      <w:r w:rsidRPr="00C228A4">
        <w:rPr>
          <w:rFonts w:ascii="Times New Roman" w:hAnsi="Times New Roman" w:cs="Times New Roman"/>
        </w:rPr>
        <w:t xml:space="preserve"> oleh Jasser Auda menawarkan jalan tengah yang memungkinkan hermeneutika beroperasi dalam kerangka </w:t>
      </w:r>
      <w:r w:rsidRPr="00C228A4">
        <w:rPr>
          <w:rFonts w:ascii="Times New Roman" w:hAnsi="Times New Roman" w:cs="Times New Roman"/>
          <w:i/>
          <w:iCs/>
        </w:rPr>
        <w:t>maqasid al-shari'ah</w:t>
      </w:r>
      <w:r w:rsidRPr="00C228A4">
        <w:rPr>
          <w:rFonts w:ascii="Times New Roman" w:hAnsi="Times New Roman" w:cs="Times New Roman"/>
        </w:rPr>
        <w:t>, menjaga tujuan-tujuan syariat sambil menghadirkan solusi kontekstual terhadap isu-isu kontemporer.</w:t>
      </w:r>
    </w:p>
    <w:p w:rsidR="002F75D7" w:rsidRPr="00D60793" w:rsidRDefault="00C228A4" w:rsidP="00D60793">
      <w:pPr>
        <w:spacing w:line="276" w:lineRule="auto"/>
        <w:ind w:firstLine="720"/>
        <w:jc w:val="both"/>
        <w:rPr>
          <w:rFonts w:ascii="Times New Roman" w:hAnsi="Times New Roman" w:cs="Times New Roman"/>
        </w:rPr>
      </w:pPr>
      <w:r w:rsidRPr="00C228A4">
        <w:rPr>
          <w:rFonts w:ascii="Times New Roman" w:hAnsi="Times New Roman" w:cs="Times New Roman"/>
        </w:rPr>
        <w:t xml:space="preserve">Implikasi praktis dari temuan ini mencakup pengembangan metodologi tafsir yang lebih inklusif dan adaptif. Pendekatan kontekstual seperti yang dilakukan Hamka menunjukkan bahwa integrasi kearifan lokal dan nilai-nilai Islam dapat memperkaya tafsir tanpa kehilangan pijakan pada </w:t>
      </w:r>
      <w:r w:rsidRPr="00C228A4">
        <w:rPr>
          <w:rFonts w:ascii="Times New Roman" w:hAnsi="Times New Roman" w:cs="Times New Roman"/>
        </w:rPr>
        <w:lastRenderedPageBreak/>
        <w:t>prinsip-prinsip dasar</w:t>
      </w:r>
      <w:r w:rsidR="00C63F36" w:rsidRPr="00D60793">
        <w:rPr>
          <w:rFonts w:ascii="Times New Roman" w:hAnsi="Times New Roman" w:cs="Times New Roman"/>
        </w:rPr>
        <w:t>.</w:t>
      </w:r>
      <w:r w:rsidR="00C63F36" w:rsidRPr="00D60793">
        <w:rPr>
          <w:rStyle w:val="FootnoteReference"/>
          <w:rFonts w:ascii="Times New Roman" w:hAnsi="Times New Roman" w:cs="Times New Roman"/>
        </w:rPr>
        <w:footnoteReference w:id="34"/>
      </w:r>
      <w:r w:rsidR="00C63F36" w:rsidRPr="00D60793">
        <w:rPr>
          <w:rFonts w:ascii="Times New Roman" w:hAnsi="Times New Roman" w:cs="Times New Roman"/>
        </w:rPr>
        <w:t xml:space="preserve"> </w:t>
      </w:r>
      <w:r w:rsidRPr="00C228A4">
        <w:rPr>
          <w:rFonts w:ascii="Times New Roman" w:hAnsi="Times New Roman" w:cs="Times New Roman"/>
        </w:rPr>
        <w:t>Hal ini relevan dalam menjawab isu-isu seperti keadilan sosial, kesetaraan gender, dan globalisasi, yang membutuhkan solusi berbasis Islam yang aplikatif dan progresif.</w:t>
      </w:r>
    </w:p>
    <w:p w:rsidR="00C228A4" w:rsidRPr="00C228A4" w:rsidRDefault="00C228A4" w:rsidP="00D60793">
      <w:pPr>
        <w:spacing w:line="276" w:lineRule="auto"/>
        <w:ind w:firstLine="720"/>
        <w:jc w:val="both"/>
        <w:rPr>
          <w:rFonts w:ascii="Times New Roman" w:hAnsi="Times New Roman" w:cs="Times New Roman"/>
        </w:rPr>
      </w:pPr>
      <w:r w:rsidRPr="00C228A4">
        <w:rPr>
          <w:rFonts w:ascii="Times New Roman" w:hAnsi="Times New Roman" w:cs="Times New Roman"/>
        </w:rPr>
        <w:t>Namun, penting pula untuk memastikan bahwa metode hermeneutika tidak merusak integritas Al-Qur'an sebagai wahyu. Kritik yang diajukan oleh ulama tradisional dan tokoh seperti Abdullah Saeed menjadi pengingat bahwa keseimbangan antara inovasi dan penghormatan terhadap teks suci harus selalu dijaga</w:t>
      </w:r>
      <w:r w:rsidR="002F75D7" w:rsidRPr="00D60793">
        <w:rPr>
          <w:rFonts w:ascii="Times New Roman" w:hAnsi="Times New Roman" w:cs="Times New Roman"/>
        </w:rPr>
        <w:t>. H</w:t>
      </w:r>
      <w:r w:rsidRPr="00C228A4">
        <w:rPr>
          <w:rFonts w:ascii="Times New Roman" w:hAnsi="Times New Roman" w:cs="Times New Roman"/>
        </w:rPr>
        <w:t>ermeneutika, meskipun kontroversial, memiliki potensi besar dalam kontekstualisasi tafsir Al-Qur'an jika diterapkan dengan hati-hati dalam kerangka epistemologi Islam. Pendekatan ini memungkinkan Al-Qur'an untuk tetap relevan sebagai pedoman hidup umat Muslim di era modern, sekaligus mempertahankan sifat transendentalnya sebagai wahyu ilahi.</w:t>
      </w:r>
    </w:p>
    <w:p w:rsidR="00E41FD3" w:rsidRPr="00E41FD3" w:rsidRDefault="00E41FD3" w:rsidP="00D60793">
      <w:pPr>
        <w:spacing w:line="276" w:lineRule="auto"/>
        <w:jc w:val="both"/>
        <w:rPr>
          <w:rFonts w:ascii="Times New Roman" w:hAnsi="Times New Roman" w:cs="Times New Roman"/>
          <w:b/>
          <w:bCs/>
        </w:rPr>
      </w:pPr>
      <w:r w:rsidRPr="00E41FD3">
        <w:rPr>
          <w:rFonts w:ascii="Times New Roman" w:hAnsi="Times New Roman" w:cs="Times New Roman"/>
          <w:b/>
          <w:bCs/>
        </w:rPr>
        <w:t>Rekonsiliasi Hermeneutika dan Ushul Tafsir: Pendekatan Integratif</w:t>
      </w:r>
    </w:p>
    <w:p w:rsidR="002F75D7" w:rsidRPr="00D60793" w:rsidRDefault="00BD0EE8" w:rsidP="00D60793">
      <w:pPr>
        <w:spacing w:line="276" w:lineRule="auto"/>
        <w:ind w:firstLine="720"/>
        <w:jc w:val="both"/>
        <w:rPr>
          <w:rFonts w:ascii="Times New Roman" w:hAnsi="Times New Roman" w:cs="Times New Roman"/>
        </w:rPr>
      </w:pPr>
      <w:r w:rsidRPr="00BD0EE8">
        <w:rPr>
          <w:rFonts w:ascii="Times New Roman" w:hAnsi="Times New Roman" w:cs="Times New Roman"/>
        </w:rPr>
        <w:t xml:space="preserve">Pendekatan integratif antara </w:t>
      </w:r>
      <w:r w:rsidRPr="00BD0EE8">
        <w:rPr>
          <w:rFonts w:ascii="Times New Roman" w:hAnsi="Times New Roman" w:cs="Times New Roman"/>
          <w:i/>
          <w:iCs/>
        </w:rPr>
        <w:t>ushul tafsir</w:t>
      </w:r>
      <w:r w:rsidRPr="00BD0EE8">
        <w:rPr>
          <w:rFonts w:ascii="Times New Roman" w:hAnsi="Times New Roman" w:cs="Times New Roman"/>
        </w:rPr>
        <w:t xml:space="preserve"> dan hermeneutika menawarkan kerangka kerja yang menggabungkan kekuatan dari kedua metodologi ini. </w:t>
      </w:r>
      <w:r w:rsidRPr="00BD0EE8">
        <w:rPr>
          <w:rFonts w:ascii="Times New Roman" w:hAnsi="Times New Roman" w:cs="Times New Roman"/>
          <w:i/>
          <w:iCs/>
        </w:rPr>
        <w:t>Ushul tafsir</w:t>
      </w:r>
      <w:r w:rsidRPr="00BD0EE8">
        <w:rPr>
          <w:rFonts w:ascii="Times New Roman" w:hAnsi="Times New Roman" w:cs="Times New Roman"/>
        </w:rPr>
        <w:t xml:space="preserve"> menyediakan kerangka berbasis wahyu, seperti prinsip </w:t>
      </w:r>
      <w:r w:rsidRPr="00BD0EE8">
        <w:rPr>
          <w:rFonts w:ascii="Times New Roman" w:hAnsi="Times New Roman" w:cs="Times New Roman"/>
          <w:i/>
          <w:iCs/>
        </w:rPr>
        <w:t>ulum al-Qur'an</w:t>
      </w:r>
      <w:r w:rsidRPr="00BD0EE8">
        <w:rPr>
          <w:rFonts w:ascii="Times New Roman" w:hAnsi="Times New Roman" w:cs="Times New Roman"/>
        </w:rPr>
        <w:t>, untuk menjaga otoritas teks suci, sementara hermeneutika memperluas ruang interpretasi dengan memperhatikan dimensi kontekstual dan historis</w:t>
      </w:r>
      <w:r w:rsidR="00C63F36" w:rsidRPr="00D60793">
        <w:rPr>
          <w:rFonts w:ascii="Times New Roman" w:hAnsi="Times New Roman" w:cs="Times New Roman"/>
        </w:rPr>
        <w:t>.</w:t>
      </w:r>
      <w:r w:rsidR="00C63F36" w:rsidRPr="00D60793">
        <w:rPr>
          <w:rStyle w:val="FootnoteReference"/>
          <w:rFonts w:ascii="Times New Roman" w:hAnsi="Times New Roman" w:cs="Times New Roman"/>
        </w:rPr>
        <w:footnoteReference w:id="35"/>
      </w:r>
      <w:r w:rsidRPr="00BD0EE8">
        <w:rPr>
          <w:rFonts w:ascii="Times New Roman" w:hAnsi="Times New Roman" w:cs="Times New Roman"/>
        </w:rPr>
        <w:t>Integrasi ini memungkinkan tafsir yang lebih relevan dengan tantangan modern tanpa mengorbankan nilai-nilai ilahiah Al-Qur'an.</w:t>
      </w:r>
    </w:p>
    <w:p w:rsidR="002F75D7" w:rsidRPr="00D60793" w:rsidRDefault="00BD0EE8" w:rsidP="00D60793">
      <w:pPr>
        <w:spacing w:line="276" w:lineRule="auto"/>
        <w:ind w:firstLine="720"/>
        <w:jc w:val="both"/>
        <w:rPr>
          <w:rFonts w:ascii="Times New Roman" w:hAnsi="Times New Roman" w:cs="Times New Roman"/>
        </w:rPr>
      </w:pPr>
      <w:r w:rsidRPr="00BD0EE8">
        <w:rPr>
          <w:rFonts w:ascii="Times New Roman" w:hAnsi="Times New Roman" w:cs="Times New Roman"/>
        </w:rPr>
        <w:t xml:space="preserve">Contohnya adalah Qadi Thanaullah Panipati dalam </w:t>
      </w:r>
      <w:r w:rsidRPr="00BD0EE8">
        <w:rPr>
          <w:rFonts w:ascii="Times New Roman" w:hAnsi="Times New Roman" w:cs="Times New Roman"/>
          <w:i/>
          <w:iCs/>
        </w:rPr>
        <w:t>Tafsir al-Mazhari</w:t>
      </w:r>
      <w:r w:rsidRPr="00BD0EE8">
        <w:rPr>
          <w:rFonts w:ascii="Times New Roman" w:hAnsi="Times New Roman" w:cs="Times New Roman"/>
        </w:rPr>
        <w:t xml:space="preserve">, yang mengaplikasikan sensitivitas sosial dalam tafsirnya tanpa menyimpang dari prinsip-prinsip syariat. Metodologi ini sejalan dengan pandangan Quraish Shihab, yang dalam </w:t>
      </w:r>
      <w:r w:rsidRPr="00BD0EE8">
        <w:rPr>
          <w:rFonts w:ascii="Times New Roman" w:hAnsi="Times New Roman" w:cs="Times New Roman"/>
          <w:i/>
          <w:iCs/>
        </w:rPr>
        <w:t>Al-Qur'an dan Metodologi Tafsir</w:t>
      </w:r>
      <w:r w:rsidRPr="00BD0EE8">
        <w:rPr>
          <w:rFonts w:ascii="Times New Roman" w:hAnsi="Times New Roman" w:cs="Times New Roman"/>
        </w:rPr>
        <w:t xml:space="preserve"> menekankan pentingnya fleksibilitas tafsir modern sambil tetap berakar pada tradisi klasik. Dengan menggabungkan metodologi tradisional dan modern, pendekatan integratif ini dapat menghasilkan tafsir yang aplikatif tetapi tetap otentik.</w:t>
      </w:r>
    </w:p>
    <w:p w:rsidR="002F75D7" w:rsidRPr="00D60793" w:rsidRDefault="00BD0EE8" w:rsidP="00D60793">
      <w:pPr>
        <w:spacing w:line="276" w:lineRule="auto"/>
        <w:ind w:firstLine="720"/>
        <w:jc w:val="both"/>
        <w:rPr>
          <w:rFonts w:ascii="Times New Roman" w:hAnsi="Times New Roman" w:cs="Times New Roman"/>
        </w:rPr>
      </w:pPr>
      <w:r w:rsidRPr="00BD0EE8">
        <w:rPr>
          <w:rFonts w:ascii="Times New Roman" w:hAnsi="Times New Roman" w:cs="Times New Roman"/>
        </w:rPr>
        <w:t xml:space="preserve">Pendekatan integratif memiliki keunggulan dibandingkan pendekatan eksklusif hermeneutika atau </w:t>
      </w:r>
      <w:r w:rsidRPr="00BD0EE8">
        <w:rPr>
          <w:rFonts w:ascii="Times New Roman" w:hAnsi="Times New Roman" w:cs="Times New Roman"/>
          <w:i/>
          <w:iCs/>
        </w:rPr>
        <w:t>ushul tafsir</w:t>
      </w:r>
      <w:r w:rsidRPr="00BD0EE8">
        <w:rPr>
          <w:rFonts w:ascii="Times New Roman" w:hAnsi="Times New Roman" w:cs="Times New Roman"/>
        </w:rPr>
        <w:t xml:space="preserve">. Ahmad von Denffer menggarisbawahi bahwa </w:t>
      </w:r>
      <w:r w:rsidRPr="00BD0EE8">
        <w:rPr>
          <w:rFonts w:ascii="Times New Roman" w:hAnsi="Times New Roman" w:cs="Times New Roman"/>
          <w:i/>
          <w:iCs/>
        </w:rPr>
        <w:t>ulum al-Qur'an</w:t>
      </w:r>
      <w:r w:rsidRPr="00BD0EE8">
        <w:rPr>
          <w:rFonts w:ascii="Times New Roman" w:hAnsi="Times New Roman" w:cs="Times New Roman"/>
        </w:rPr>
        <w:t xml:space="preserve"> memberikan fondasi yang kuat dalam memahami teks suci, tetapi sering kali dianggap kurang responsif terhadap isu-isu kontemporer. Di sisi lain, hermeneutika menawarkan fleksibilitas yang memungkinkan interpretasi lebih relevan dengan konteks modern, tetapi berisiko mereduksi dimensi ilahiah teks</w:t>
      </w:r>
      <w:r w:rsidR="00C63F36" w:rsidRPr="00D60793">
        <w:rPr>
          <w:rFonts w:ascii="Times New Roman" w:hAnsi="Times New Roman" w:cs="Times New Roman"/>
        </w:rPr>
        <w:t>.</w:t>
      </w:r>
    </w:p>
    <w:p w:rsidR="002F75D7" w:rsidRPr="00D60793" w:rsidRDefault="00BD0EE8" w:rsidP="00D60793">
      <w:pPr>
        <w:spacing w:line="276" w:lineRule="auto"/>
        <w:ind w:firstLine="720"/>
        <w:jc w:val="both"/>
        <w:rPr>
          <w:rFonts w:ascii="Times New Roman" w:hAnsi="Times New Roman" w:cs="Times New Roman"/>
        </w:rPr>
      </w:pPr>
      <w:r w:rsidRPr="00BD0EE8">
        <w:rPr>
          <w:rFonts w:ascii="Times New Roman" w:hAnsi="Times New Roman" w:cs="Times New Roman"/>
        </w:rPr>
        <w:t>Kritik terhadap metode tafsir klasik yang terlalu kaku juga memicu seruan untuk pendekatan yang lebih adaptif. Menurut Rohmatika</w:t>
      </w:r>
      <w:r w:rsidR="00C63F36" w:rsidRPr="00D60793">
        <w:rPr>
          <w:rFonts w:ascii="Times New Roman" w:hAnsi="Times New Roman" w:cs="Times New Roman"/>
        </w:rPr>
        <w:t>,</w:t>
      </w:r>
      <w:r w:rsidR="00C63F36" w:rsidRPr="00D60793">
        <w:rPr>
          <w:rStyle w:val="FootnoteReference"/>
          <w:rFonts w:ascii="Times New Roman" w:hAnsi="Times New Roman" w:cs="Times New Roman"/>
        </w:rPr>
        <w:footnoteReference w:id="36"/>
      </w:r>
      <w:r w:rsidRPr="00BD0EE8">
        <w:rPr>
          <w:rFonts w:ascii="Times New Roman" w:hAnsi="Times New Roman" w:cs="Times New Roman"/>
        </w:rPr>
        <w:t xml:space="preserve"> tafsir klasik cenderung mengabaikan realitas sosial yang dapat memengaruhi pemahaman teks. Sebaliknya, hermeneutika yang terlalu menekankan pada konteks sering kali dianggap mengabaikan integritas teks wahyu</w:t>
      </w:r>
      <w:r w:rsidR="004C38E5" w:rsidRPr="00D60793">
        <w:rPr>
          <w:rFonts w:ascii="Times New Roman" w:hAnsi="Times New Roman" w:cs="Times New Roman"/>
        </w:rPr>
        <w:t>.</w:t>
      </w:r>
      <w:r w:rsidR="004C38E5" w:rsidRPr="00D60793">
        <w:rPr>
          <w:rStyle w:val="FootnoteReference"/>
          <w:rFonts w:ascii="Times New Roman" w:hAnsi="Times New Roman" w:cs="Times New Roman"/>
        </w:rPr>
        <w:footnoteReference w:id="37"/>
      </w:r>
      <w:r w:rsidRPr="00BD0EE8">
        <w:rPr>
          <w:rFonts w:ascii="Times New Roman" w:hAnsi="Times New Roman" w:cs="Times New Roman"/>
        </w:rPr>
        <w:t xml:space="preserve"> Pendekatan integratif ini menjembatani kedua kritik tersebut dengan memadukan prinsip </w:t>
      </w:r>
      <w:r w:rsidRPr="00BD0EE8">
        <w:rPr>
          <w:rFonts w:ascii="Times New Roman" w:hAnsi="Times New Roman" w:cs="Times New Roman"/>
          <w:i/>
          <w:iCs/>
        </w:rPr>
        <w:t>ushul tafsir</w:t>
      </w:r>
      <w:r w:rsidRPr="00BD0EE8">
        <w:rPr>
          <w:rFonts w:ascii="Times New Roman" w:hAnsi="Times New Roman" w:cs="Times New Roman"/>
        </w:rPr>
        <w:t xml:space="preserve"> sebagai fondasi dan hermeneutika sebagai alat bantu interpretasi.</w:t>
      </w:r>
    </w:p>
    <w:p w:rsidR="002F75D7" w:rsidRPr="00D60793" w:rsidRDefault="00BD0EE8" w:rsidP="00D60793">
      <w:pPr>
        <w:spacing w:line="276" w:lineRule="auto"/>
        <w:ind w:firstLine="720"/>
        <w:jc w:val="both"/>
        <w:rPr>
          <w:rFonts w:ascii="Times New Roman" w:hAnsi="Times New Roman" w:cs="Times New Roman"/>
        </w:rPr>
      </w:pPr>
      <w:r w:rsidRPr="00BD0EE8">
        <w:rPr>
          <w:rFonts w:ascii="Times New Roman" w:hAnsi="Times New Roman" w:cs="Times New Roman"/>
        </w:rPr>
        <w:t>Pendekatan interdisipliner juga mendukung model integratif ini. Seperti yang dicatat oleh</w:t>
      </w:r>
      <w:r w:rsidR="004C38E5" w:rsidRPr="00D60793">
        <w:rPr>
          <w:rFonts w:ascii="Times New Roman" w:hAnsi="Times New Roman" w:cs="Times New Roman"/>
        </w:rPr>
        <w:t xml:space="preserve"> Latif.</w:t>
      </w:r>
      <w:r w:rsidR="004C38E5" w:rsidRPr="00D60793">
        <w:rPr>
          <w:rStyle w:val="FootnoteReference"/>
          <w:rFonts w:ascii="Times New Roman" w:hAnsi="Times New Roman" w:cs="Times New Roman"/>
        </w:rPr>
        <w:footnoteReference w:id="38"/>
      </w:r>
      <w:r w:rsidRPr="00BD0EE8">
        <w:rPr>
          <w:rFonts w:ascii="Times New Roman" w:hAnsi="Times New Roman" w:cs="Times New Roman"/>
        </w:rPr>
        <w:t xml:space="preserve"> penggabungan disiplin ilmu, seperti sosiologi dan linguistik, dapat memperkaya analisis tafsir. </w:t>
      </w:r>
      <w:r w:rsidRPr="00BD0EE8">
        <w:rPr>
          <w:rFonts w:ascii="Times New Roman" w:hAnsi="Times New Roman" w:cs="Times New Roman"/>
        </w:rPr>
        <w:lastRenderedPageBreak/>
        <w:t>Misalnya, penelitian Abdulloh menunjukkan bagaimana pendekatan sosiologis dapat membantu memahami relevansi nilai-nilai Islam dalam konteks sosial modern. Integrasi ini memastikan bahwa tafsir tetap relevan tanpa mengabaikan prinsip-prinsip dasar Islam.</w:t>
      </w:r>
      <w:r w:rsidR="004C38E5" w:rsidRPr="00D60793">
        <w:rPr>
          <w:rStyle w:val="FootnoteReference"/>
          <w:rFonts w:ascii="Times New Roman" w:hAnsi="Times New Roman" w:cs="Times New Roman"/>
        </w:rPr>
        <w:footnoteReference w:id="39"/>
      </w:r>
    </w:p>
    <w:p w:rsidR="002F75D7" w:rsidRPr="00D60793" w:rsidRDefault="00BD0EE8" w:rsidP="00D60793">
      <w:pPr>
        <w:spacing w:line="276" w:lineRule="auto"/>
        <w:ind w:firstLine="720"/>
        <w:jc w:val="both"/>
        <w:rPr>
          <w:rFonts w:ascii="Times New Roman" w:hAnsi="Times New Roman" w:cs="Times New Roman"/>
        </w:rPr>
      </w:pPr>
      <w:r w:rsidRPr="00BD0EE8">
        <w:rPr>
          <w:rFonts w:ascii="Times New Roman" w:hAnsi="Times New Roman" w:cs="Times New Roman"/>
        </w:rPr>
        <w:t xml:space="preserve">Temuan penelitian ini menegaskan bahwa pendekatan integratif antara </w:t>
      </w:r>
      <w:r w:rsidRPr="00BD0EE8">
        <w:rPr>
          <w:rFonts w:ascii="Times New Roman" w:hAnsi="Times New Roman" w:cs="Times New Roman"/>
          <w:i/>
          <w:iCs/>
        </w:rPr>
        <w:t>ushul tafsir</w:t>
      </w:r>
      <w:r w:rsidRPr="00BD0EE8">
        <w:rPr>
          <w:rFonts w:ascii="Times New Roman" w:hAnsi="Times New Roman" w:cs="Times New Roman"/>
        </w:rPr>
        <w:t xml:space="preserve"> dan hermeneutika adalah langkah penting dalam pengembangan metodologi tafsir modern. Dengan menggabungkan kekuatan kedua pendekatan ini, para mufasir dapat menghasilkan tafsir yang tidak hanya relevan secara kontekstual tetapi juga setia pada otoritas dan kesucian wahyu.</w:t>
      </w:r>
    </w:p>
    <w:p w:rsidR="002F75D7" w:rsidRPr="00D60793" w:rsidRDefault="00BD0EE8" w:rsidP="00D60793">
      <w:pPr>
        <w:spacing w:line="276" w:lineRule="auto"/>
        <w:ind w:firstLine="720"/>
        <w:jc w:val="both"/>
        <w:rPr>
          <w:rFonts w:ascii="Times New Roman" w:hAnsi="Times New Roman" w:cs="Times New Roman"/>
        </w:rPr>
      </w:pPr>
      <w:r w:rsidRPr="00BD0EE8">
        <w:rPr>
          <w:rFonts w:ascii="Times New Roman" w:hAnsi="Times New Roman" w:cs="Times New Roman"/>
        </w:rPr>
        <w:t xml:space="preserve">Implikasi praktis dari pendekatan ini mencakup pengembangan kurikulum pendidikan tafsir yang mengintegrasikan </w:t>
      </w:r>
      <w:r w:rsidRPr="00BD0EE8">
        <w:rPr>
          <w:rFonts w:ascii="Times New Roman" w:hAnsi="Times New Roman" w:cs="Times New Roman"/>
          <w:i/>
          <w:iCs/>
        </w:rPr>
        <w:t>ulum al-Qur'an</w:t>
      </w:r>
      <w:r w:rsidRPr="00BD0EE8">
        <w:rPr>
          <w:rFonts w:ascii="Times New Roman" w:hAnsi="Times New Roman" w:cs="Times New Roman"/>
        </w:rPr>
        <w:t xml:space="preserve"> dengan elemen-elemen hermeneutika modern. Hal ini penting untuk melatih mufasir yang mampu menjawab tantangan zaman tanpa kehilangan pijakan pada nilai-nilai Islam. Selain itu, pendekatan ini dapat digunakan untuk menjawab isu-isu kontemporer seperti keadilan sosial, kesetaraan gender, dan keberlanjutan lingkungan, yang memerlukan respons berbasis Al-Qur'an yang kontekstual dan aplikatif.</w:t>
      </w:r>
    </w:p>
    <w:p w:rsidR="00E41FD3" w:rsidRPr="00E41FD3" w:rsidRDefault="00BD0EE8" w:rsidP="00D60793">
      <w:pPr>
        <w:spacing w:line="276" w:lineRule="auto"/>
        <w:ind w:firstLine="720"/>
        <w:jc w:val="both"/>
        <w:rPr>
          <w:rFonts w:ascii="Times New Roman" w:hAnsi="Times New Roman" w:cs="Times New Roman"/>
        </w:rPr>
      </w:pPr>
      <w:r w:rsidRPr="00BD0EE8">
        <w:rPr>
          <w:rFonts w:ascii="Times New Roman" w:hAnsi="Times New Roman" w:cs="Times New Roman"/>
        </w:rPr>
        <w:t>Integrasi ini juga membuka peluang dialog antara ulama tradisional dan kontemporer, menciptakan ruang untuk diskusi yang lebih inklusif dalam dunia akademik Islam. Dengan memanfaatkan pendekatan interdisipliner, para mufasir dapat menggali dimensi baru dari Al-Qur'an yang relevan dengan masyarakat global saat ini. Pendekatan ini, seperti yang diusulkan oleh Quraish Shihab, dapat menciptakan metodologi tafsir yang fleksibel tetapi tetap berakar pada tradisi Islam yang autentik</w:t>
      </w:r>
      <w:r w:rsidR="004C38E5" w:rsidRPr="00D60793">
        <w:rPr>
          <w:rFonts w:ascii="Times New Roman" w:hAnsi="Times New Roman" w:cs="Times New Roman"/>
        </w:rPr>
        <w:t>.</w:t>
      </w:r>
      <w:r w:rsidR="004C38E5" w:rsidRPr="00D60793">
        <w:rPr>
          <w:rStyle w:val="FootnoteReference"/>
          <w:rFonts w:ascii="Times New Roman" w:hAnsi="Times New Roman" w:cs="Times New Roman"/>
        </w:rPr>
        <w:footnoteReference w:id="40"/>
      </w:r>
      <w:r w:rsidR="004C38E5" w:rsidRPr="00D60793">
        <w:rPr>
          <w:rFonts w:ascii="Times New Roman" w:hAnsi="Times New Roman" w:cs="Times New Roman"/>
        </w:rPr>
        <w:t xml:space="preserve"> </w:t>
      </w:r>
      <w:r w:rsidR="002F75D7" w:rsidRPr="00D60793">
        <w:rPr>
          <w:rFonts w:ascii="Times New Roman" w:hAnsi="Times New Roman" w:cs="Times New Roman"/>
        </w:rPr>
        <w:t>E</w:t>
      </w:r>
      <w:r w:rsidRPr="00BD0EE8">
        <w:rPr>
          <w:rFonts w:ascii="Times New Roman" w:hAnsi="Times New Roman" w:cs="Times New Roman"/>
        </w:rPr>
        <w:t xml:space="preserve">konsiliasi hermeneutika dan </w:t>
      </w:r>
      <w:r w:rsidRPr="00BD0EE8">
        <w:rPr>
          <w:rFonts w:ascii="Times New Roman" w:hAnsi="Times New Roman" w:cs="Times New Roman"/>
          <w:i/>
          <w:iCs/>
        </w:rPr>
        <w:t>ushul tafsir</w:t>
      </w:r>
      <w:r w:rsidRPr="00BD0EE8">
        <w:rPr>
          <w:rFonts w:ascii="Times New Roman" w:hAnsi="Times New Roman" w:cs="Times New Roman"/>
        </w:rPr>
        <w:t xml:space="preserve"> tidak hanya memungkinkan interpretasi yang lebih adaptif tetapi juga memperkuat relevansi Al-Qur'an sebagai pedoman hidup di era modern. Model ini menjadi kerangka kerja yang menjembatani tradisi dan modernitas, memastikan bahwa tafsir Al-Qur'an tetap otentik sekaligus responsif terhadap perubahan zaman.</w:t>
      </w:r>
    </w:p>
    <w:p w:rsidR="00E41FD3" w:rsidRPr="00E41FD3" w:rsidRDefault="00E41FD3" w:rsidP="00D60793">
      <w:pPr>
        <w:spacing w:line="276" w:lineRule="auto"/>
        <w:jc w:val="both"/>
        <w:rPr>
          <w:rFonts w:ascii="Times New Roman" w:hAnsi="Times New Roman" w:cs="Times New Roman"/>
          <w:b/>
          <w:bCs/>
        </w:rPr>
      </w:pPr>
      <w:r w:rsidRPr="00E41FD3">
        <w:rPr>
          <w:rFonts w:ascii="Times New Roman" w:hAnsi="Times New Roman" w:cs="Times New Roman"/>
          <w:b/>
          <w:bCs/>
        </w:rPr>
        <w:t>Implikasi Kritik Hermeneutika terhadap Studi Tafsir di Era Modern</w:t>
      </w:r>
    </w:p>
    <w:p w:rsidR="002F75D7" w:rsidRPr="00D60793" w:rsidRDefault="00BD0EE8" w:rsidP="00D60793">
      <w:pPr>
        <w:spacing w:line="276" w:lineRule="auto"/>
        <w:ind w:firstLine="720"/>
        <w:jc w:val="both"/>
        <w:rPr>
          <w:rFonts w:ascii="Times New Roman" w:hAnsi="Times New Roman" w:cs="Times New Roman"/>
        </w:rPr>
      </w:pPr>
      <w:r w:rsidRPr="00BD0EE8">
        <w:rPr>
          <w:rFonts w:ascii="Times New Roman" w:hAnsi="Times New Roman" w:cs="Times New Roman"/>
        </w:rPr>
        <w:t xml:space="preserve">Kritik terhadap hermeneutika telah memengaruhi studi tafsir modern dengan mendorong pentingnya keseimbangan antara pendekatan modern dan otentisitas tradisi Islam. Dalam pengajaran tafsir, kritik ini menciptakan dorongan untuk mengintegrasikan analisis kontekstual dengan metode klasik berbasis wahyu. Misalnya, Abdullah Saeed dalam </w:t>
      </w:r>
      <w:r w:rsidRPr="00BD0EE8">
        <w:rPr>
          <w:rFonts w:ascii="Times New Roman" w:hAnsi="Times New Roman" w:cs="Times New Roman"/>
          <w:i/>
          <w:iCs/>
        </w:rPr>
        <w:t>Hermeneutika Al-Qur'an</w:t>
      </w:r>
      <w:r w:rsidRPr="00BD0EE8">
        <w:rPr>
          <w:rFonts w:ascii="Times New Roman" w:hAnsi="Times New Roman" w:cs="Times New Roman"/>
        </w:rPr>
        <w:t xml:space="preserve"> menekankan perlunya memahami wahyu dalam konteks sejarahnya, tetapi tetap menghormati nilai-nilai universal Islam</w:t>
      </w:r>
      <w:r w:rsidR="004C38E5" w:rsidRPr="00D60793">
        <w:rPr>
          <w:rFonts w:ascii="Times New Roman" w:hAnsi="Times New Roman" w:cs="Times New Roman"/>
        </w:rPr>
        <w:t>.</w:t>
      </w:r>
      <w:r w:rsidR="00A85C01" w:rsidRPr="00D60793">
        <w:rPr>
          <w:rStyle w:val="FootnoteReference"/>
          <w:rFonts w:ascii="Times New Roman" w:hAnsi="Times New Roman" w:cs="Times New Roman"/>
        </w:rPr>
        <w:footnoteReference w:id="41"/>
      </w:r>
    </w:p>
    <w:p w:rsidR="002F75D7" w:rsidRPr="00D60793" w:rsidRDefault="00BD0EE8" w:rsidP="00D60793">
      <w:pPr>
        <w:spacing w:line="276" w:lineRule="auto"/>
        <w:ind w:firstLine="720"/>
        <w:jc w:val="both"/>
        <w:rPr>
          <w:rFonts w:ascii="Times New Roman" w:hAnsi="Times New Roman" w:cs="Times New Roman"/>
        </w:rPr>
      </w:pPr>
      <w:r w:rsidRPr="00BD0EE8">
        <w:rPr>
          <w:rFonts w:ascii="Times New Roman" w:hAnsi="Times New Roman" w:cs="Times New Roman"/>
        </w:rPr>
        <w:t xml:space="preserve">Selain itu, pendekatan hermeneutika telah mendorong adopsi metodologi interdisipliner dalam studi tafsir. Ziauddin Sardar, dalam </w:t>
      </w:r>
      <w:r w:rsidRPr="00BD0EE8">
        <w:rPr>
          <w:rFonts w:ascii="Times New Roman" w:hAnsi="Times New Roman" w:cs="Times New Roman"/>
          <w:i/>
          <w:iCs/>
        </w:rPr>
        <w:t>Contemporary Issues in Islam and Science</w:t>
      </w:r>
      <w:r w:rsidRPr="00BD0EE8">
        <w:rPr>
          <w:rFonts w:ascii="Times New Roman" w:hAnsi="Times New Roman" w:cs="Times New Roman"/>
        </w:rPr>
        <w:t>, menunjukkan bahwa integrasi ilmu sosial, filsafat, dan sains dalam studi Islam dapat menjawab tantangan modern tanpa mengorbankan prinsip Islam. Metode ini juga membantu mufasir untuk memahami isu-isu kontemporer seperti etika lingkungan, teknologi, dan keadilan sosial dengan perspektif yang lebih relevan.</w:t>
      </w:r>
    </w:p>
    <w:p w:rsidR="002F75D7" w:rsidRPr="00D60793" w:rsidRDefault="00BD0EE8" w:rsidP="00D60793">
      <w:pPr>
        <w:spacing w:line="276" w:lineRule="auto"/>
        <w:ind w:firstLine="720"/>
        <w:jc w:val="both"/>
        <w:rPr>
          <w:rFonts w:ascii="Times New Roman" w:hAnsi="Times New Roman" w:cs="Times New Roman"/>
        </w:rPr>
      </w:pPr>
      <w:r w:rsidRPr="00BD0EE8">
        <w:rPr>
          <w:rFonts w:ascii="Times New Roman" w:hAnsi="Times New Roman" w:cs="Times New Roman"/>
        </w:rPr>
        <w:t xml:space="preserve">Kritik ulama tradisional terhadap hermeneutika menyoroti bahaya potensi reduksi makna ilahiah teks menjadi sekadar analisis historis atau budaya. Perspektif ini ditegaskan dalam karya Mohammad Arkoun </w:t>
      </w:r>
      <w:r w:rsidRPr="00BD0EE8">
        <w:rPr>
          <w:rFonts w:ascii="Times New Roman" w:hAnsi="Times New Roman" w:cs="Times New Roman"/>
          <w:i/>
          <w:iCs/>
        </w:rPr>
        <w:t>Reformasi Pemikiran Islam</w:t>
      </w:r>
      <w:r w:rsidRPr="00BD0EE8">
        <w:rPr>
          <w:rFonts w:ascii="Times New Roman" w:hAnsi="Times New Roman" w:cs="Times New Roman"/>
        </w:rPr>
        <w:t xml:space="preserve">, yang meskipun menawarkan refleksi kritis terhadap </w:t>
      </w:r>
      <w:r w:rsidRPr="00BD0EE8">
        <w:rPr>
          <w:rFonts w:ascii="Times New Roman" w:hAnsi="Times New Roman" w:cs="Times New Roman"/>
        </w:rPr>
        <w:lastRenderedPageBreak/>
        <w:t>tafsir tradisional, sering dianggap terlalu liberal oleh ulama tradisional. Kritik ini mencerminkan ketegangan antara kebutuhan untuk relevansi modern dan pentingnya menjaga otoritas teks wahyu</w:t>
      </w:r>
      <w:r w:rsidR="004C38E5" w:rsidRPr="00D60793">
        <w:rPr>
          <w:rFonts w:ascii="Times New Roman" w:hAnsi="Times New Roman" w:cs="Times New Roman"/>
        </w:rPr>
        <w:t>.</w:t>
      </w:r>
      <w:r w:rsidR="004C38E5" w:rsidRPr="00D60793">
        <w:rPr>
          <w:rStyle w:val="FootnoteReference"/>
          <w:rFonts w:ascii="Times New Roman" w:hAnsi="Times New Roman" w:cs="Times New Roman"/>
        </w:rPr>
        <w:footnoteReference w:id="42"/>
      </w:r>
    </w:p>
    <w:p w:rsidR="002F75D7" w:rsidRPr="00D60793" w:rsidRDefault="00BD0EE8" w:rsidP="00D60793">
      <w:pPr>
        <w:spacing w:line="276" w:lineRule="auto"/>
        <w:ind w:firstLine="720"/>
        <w:jc w:val="both"/>
        <w:rPr>
          <w:rFonts w:ascii="Times New Roman" w:hAnsi="Times New Roman" w:cs="Times New Roman"/>
        </w:rPr>
      </w:pPr>
      <w:r w:rsidRPr="00BD0EE8">
        <w:rPr>
          <w:rFonts w:ascii="Times New Roman" w:hAnsi="Times New Roman" w:cs="Times New Roman"/>
        </w:rPr>
        <w:t>Sebaliknya, pendekatan seperti yang dilakukan oleh M. Quraish Shihab menunjukkan bagaimana hermeneutika dapat diterapkan dalam kerangka tradisional. Dalam tafsirnya, ia mengintegrasikan berbagai disiplin ilmu untuk menjawab isu-isu hak asasi manusia dan pluralisme, yang menjadi tantangan besar umat Islam di era modern</w:t>
      </w:r>
      <w:r w:rsidR="004C38E5" w:rsidRPr="00D60793">
        <w:rPr>
          <w:rFonts w:ascii="Times New Roman" w:hAnsi="Times New Roman" w:cs="Times New Roman"/>
        </w:rPr>
        <w:t>.</w:t>
      </w:r>
      <w:r w:rsidR="004C38E5" w:rsidRPr="00D60793">
        <w:rPr>
          <w:rStyle w:val="FootnoteReference"/>
          <w:rFonts w:ascii="Times New Roman" w:hAnsi="Times New Roman" w:cs="Times New Roman"/>
        </w:rPr>
        <w:footnoteReference w:id="43"/>
      </w:r>
      <w:r w:rsidRPr="00BD0EE8">
        <w:rPr>
          <w:rFonts w:ascii="Times New Roman" w:hAnsi="Times New Roman" w:cs="Times New Roman"/>
        </w:rPr>
        <w:t xml:space="preserve"> Pendekatan ini menunjukkan bahwa hermeneutika dapat memperkaya studi tafsir jika diterapkan dengan hati-hati dalam kerangka epistemologi Islam.</w:t>
      </w:r>
    </w:p>
    <w:p w:rsidR="002F75D7" w:rsidRPr="00D60793" w:rsidRDefault="00BD0EE8" w:rsidP="00D60793">
      <w:pPr>
        <w:spacing w:line="276" w:lineRule="auto"/>
        <w:ind w:firstLine="720"/>
        <w:jc w:val="both"/>
        <w:rPr>
          <w:rFonts w:ascii="Times New Roman" w:hAnsi="Times New Roman" w:cs="Times New Roman"/>
        </w:rPr>
      </w:pPr>
      <w:r w:rsidRPr="00BD0EE8">
        <w:rPr>
          <w:rFonts w:ascii="Times New Roman" w:hAnsi="Times New Roman" w:cs="Times New Roman"/>
        </w:rPr>
        <w:t>Dibandingkan dengan metode tradisional yang cenderung tekstual, pendekatan modern ini memungkinkan tafsir lebih aplikatif. Namun, kritik juga muncul dari beberapa kalangan yang khawatir bahwa interpretasi kontekstual dapat mengarah pada distorsi makna asli wahyu</w:t>
      </w:r>
      <w:r w:rsidR="004C38E5" w:rsidRPr="00D60793">
        <w:rPr>
          <w:rFonts w:ascii="Times New Roman" w:hAnsi="Times New Roman" w:cs="Times New Roman"/>
        </w:rPr>
        <w:t>.</w:t>
      </w:r>
      <w:r w:rsidR="004C38E5" w:rsidRPr="00D60793">
        <w:rPr>
          <w:rStyle w:val="FootnoteReference"/>
          <w:rFonts w:ascii="Times New Roman" w:hAnsi="Times New Roman" w:cs="Times New Roman"/>
        </w:rPr>
        <w:footnoteReference w:id="44"/>
      </w:r>
      <w:r w:rsidRPr="00BD0EE8">
        <w:rPr>
          <w:rFonts w:ascii="Times New Roman" w:hAnsi="Times New Roman" w:cs="Times New Roman"/>
        </w:rPr>
        <w:t xml:space="preserve"> Perdebatan ini menunjukkan bahwa perlu ada upaya untuk memadukan kelebihan kedua pendekatan ini.</w:t>
      </w:r>
    </w:p>
    <w:p w:rsidR="002F75D7" w:rsidRPr="00D60793" w:rsidRDefault="00BD0EE8" w:rsidP="00D60793">
      <w:pPr>
        <w:spacing w:line="276" w:lineRule="auto"/>
        <w:ind w:firstLine="720"/>
        <w:jc w:val="both"/>
        <w:rPr>
          <w:rFonts w:ascii="Times New Roman" w:hAnsi="Times New Roman" w:cs="Times New Roman"/>
        </w:rPr>
      </w:pPr>
      <w:r w:rsidRPr="00BD0EE8">
        <w:rPr>
          <w:rFonts w:ascii="Times New Roman" w:hAnsi="Times New Roman" w:cs="Times New Roman"/>
        </w:rPr>
        <w:t xml:space="preserve">Temuan ini menunjukkan bahwa kritik terhadap hermeneutika, meskipun sering kali dianggap menghambat inovasi, sebenarnya telah mendorong pengembangan metodologi tafsir yang lebih relevan dan aplikatif. Integrasi pendekatan hermeneutika dengan tradisi </w:t>
      </w:r>
      <w:r w:rsidRPr="00BD0EE8">
        <w:rPr>
          <w:rFonts w:ascii="Times New Roman" w:hAnsi="Times New Roman" w:cs="Times New Roman"/>
          <w:i/>
          <w:iCs/>
        </w:rPr>
        <w:t>ushul tafsir</w:t>
      </w:r>
      <w:r w:rsidRPr="00BD0EE8">
        <w:rPr>
          <w:rFonts w:ascii="Times New Roman" w:hAnsi="Times New Roman" w:cs="Times New Roman"/>
        </w:rPr>
        <w:t xml:space="preserve"> menciptakan peluang besar untuk memahami Al-Qur'an dalam konteks modern tanpa mengorbankan nilai-nilai ilahiah.</w:t>
      </w:r>
    </w:p>
    <w:p w:rsidR="002F75D7" w:rsidRPr="00D60793" w:rsidRDefault="00BD0EE8" w:rsidP="00D60793">
      <w:pPr>
        <w:spacing w:line="276" w:lineRule="auto"/>
        <w:ind w:firstLine="720"/>
        <w:jc w:val="both"/>
        <w:rPr>
          <w:rFonts w:ascii="Times New Roman" w:hAnsi="Times New Roman" w:cs="Times New Roman"/>
        </w:rPr>
      </w:pPr>
      <w:r w:rsidRPr="00BD0EE8">
        <w:rPr>
          <w:rFonts w:ascii="Times New Roman" w:hAnsi="Times New Roman" w:cs="Times New Roman"/>
        </w:rPr>
        <w:t>Implikasi praktis dari kritik ini terlihat dalam pengajaran tafsir di lembaga pendidikan Islam. Misalnya, pendidikan tafsir di pesantren dapat memanfaatkan pendekatan hermeneutika untuk mendorong diskusi kritis dan reflektif, sehingga santri tidak hanya memahami teks secara literal tetapi juga mampu mengaplikasikannya dalam kehidupan sehari-hari</w:t>
      </w:r>
      <w:r w:rsidR="004C38E5" w:rsidRPr="00D60793">
        <w:rPr>
          <w:rFonts w:ascii="Times New Roman" w:hAnsi="Times New Roman" w:cs="Times New Roman"/>
        </w:rPr>
        <w:t>.</w:t>
      </w:r>
      <w:r w:rsidR="004C38E5" w:rsidRPr="00D60793">
        <w:rPr>
          <w:rStyle w:val="FootnoteReference"/>
          <w:rFonts w:ascii="Times New Roman" w:hAnsi="Times New Roman" w:cs="Times New Roman"/>
        </w:rPr>
        <w:footnoteReference w:id="45"/>
      </w:r>
      <w:r w:rsidRPr="00BD0EE8">
        <w:rPr>
          <w:rFonts w:ascii="Times New Roman" w:hAnsi="Times New Roman" w:cs="Times New Roman"/>
        </w:rPr>
        <w:t>Hal ini meningkatkan relevansi pendidikan Islam dalam menjawab tantangan globalisasi dan modernitas.</w:t>
      </w:r>
    </w:p>
    <w:p w:rsidR="00BD0EE8" w:rsidRPr="00D60793" w:rsidRDefault="00BD0EE8" w:rsidP="00D60793">
      <w:pPr>
        <w:spacing w:line="276" w:lineRule="auto"/>
        <w:ind w:firstLine="720"/>
        <w:jc w:val="both"/>
        <w:rPr>
          <w:rFonts w:ascii="Times New Roman" w:hAnsi="Times New Roman" w:cs="Times New Roman"/>
        </w:rPr>
      </w:pPr>
      <w:r w:rsidRPr="00BD0EE8">
        <w:rPr>
          <w:rFonts w:ascii="Times New Roman" w:hAnsi="Times New Roman" w:cs="Times New Roman"/>
        </w:rPr>
        <w:t>Selain itu, pendekatan interdisipliner membuka peluang bagi mufasir untuk menjawab isu-isu kontemporer seperti keberlanjutan lingkungan, keadilan sosial, dan etika teknologi. Pendekatan ini memastikan bahwa nilai-nilai Al-Qur'an tetap relevan dan aplikatif di dunia yang terus berubah. Pendekatan seperti ini juga memperkuat posisi Islam sebagai agama yang responsif terhadap perubahan zaman tanpa kehilangan identitas dan prinsip-prinsip dasarnya.</w:t>
      </w:r>
      <w:r w:rsidR="002F75D7" w:rsidRPr="00D60793">
        <w:rPr>
          <w:rFonts w:ascii="Times New Roman" w:hAnsi="Times New Roman" w:cs="Times New Roman"/>
        </w:rPr>
        <w:t xml:space="preserve"> </w:t>
      </w:r>
      <w:r w:rsidR="0087710D" w:rsidRPr="00D60793">
        <w:rPr>
          <w:rFonts w:ascii="Times New Roman" w:hAnsi="Times New Roman" w:cs="Times New Roman"/>
        </w:rPr>
        <w:t>K</w:t>
      </w:r>
      <w:r w:rsidRPr="00BD0EE8">
        <w:rPr>
          <w:rFonts w:ascii="Times New Roman" w:hAnsi="Times New Roman" w:cs="Times New Roman"/>
        </w:rPr>
        <w:t>ritik terhadap hermeneutika tidak hanya menjadi tantangan tetapi juga peluang untuk memperkaya studi tafsir. Dengan pendekatan yang terintegrasi dan interdisipliner, studi tafsir di era modern dapat menjadi lebih adaptif, relevan, dan aplikatif, sekaligus menjaga integritas dan otoritas wahyu sebagai pedoman hidup umat Islam.</w:t>
      </w:r>
    </w:p>
    <w:p w:rsidR="009629CA" w:rsidRPr="009629CA" w:rsidRDefault="009629CA" w:rsidP="00D60793">
      <w:pPr>
        <w:spacing w:line="276" w:lineRule="auto"/>
        <w:jc w:val="both"/>
        <w:rPr>
          <w:rFonts w:ascii="Times New Roman" w:hAnsi="Times New Roman" w:cs="Times New Roman"/>
          <w:b/>
          <w:bCs/>
        </w:rPr>
      </w:pPr>
      <w:r w:rsidRPr="009629CA">
        <w:rPr>
          <w:rFonts w:ascii="Times New Roman" w:hAnsi="Times New Roman" w:cs="Times New Roman"/>
          <w:b/>
          <w:bCs/>
        </w:rPr>
        <w:t>Kesimpulan</w:t>
      </w:r>
    </w:p>
    <w:p w:rsidR="002F75D7" w:rsidRPr="00D60793" w:rsidRDefault="009629CA" w:rsidP="00D60793">
      <w:pPr>
        <w:spacing w:line="276" w:lineRule="auto"/>
        <w:ind w:firstLine="720"/>
        <w:jc w:val="both"/>
        <w:rPr>
          <w:rFonts w:ascii="Times New Roman" w:hAnsi="Times New Roman" w:cs="Times New Roman"/>
        </w:rPr>
      </w:pPr>
      <w:r w:rsidRPr="009629CA">
        <w:rPr>
          <w:rFonts w:ascii="Times New Roman" w:hAnsi="Times New Roman" w:cs="Times New Roman"/>
        </w:rPr>
        <w:t xml:space="preserve">Penelitian ini menunjukkan bahwa kritik terhadap hermeneutika dalam tafsir Al-Qur'an, baik dari perspektif ulama tradisional maupun kontemporer, memberikan kontribusi penting dalam memperkaya diskursus metodologi tafsir. Ulama tradisional seperti Al-Suyuti dan Ibn Taymiyyah menolak hermeneutika karena dianggap tidak sesuai dengan epistemologi Islam yang berbasis wahyu dan prinsip syariat. Sebaliknya, ulama kontemporer seperti Fazlur Rahman dan Nasr Hamid Abu Zayd </w:t>
      </w:r>
      <w:r w:rsidRPr="009629CA">
        <w:rPr>
          <w:rFonts w:ascii="Times New Roman" w:hAnsi="Times New Roman" w:cs="Times New Roman"/>
        </w:rPr>
        <w:lastRenderedPageBreak/>
        <w:t>menawarkan pendekatan yang lebih fleksibel, termasuk integrasi analisis historis dan sosial, meskipun tidak lepas dari kontroversi.</w:t>
      </w:r>
    </w:p>
    <w:p w:rsidR="002F75D7" w:rsidRPr="00D60793" w:rsidRDefault="009629CA" w:rsidP="00D60793">
      <w:pPr>
        <w:spacing w:line="276" w:lineRule="auto"/>
        <w:ind w:firstLine="720"/>
        <w:jc w:val="both"/>
        <w:rPr>
          <w:rFonts w:ascii="Times New Roman" w:hAnsi="Times New Roman" w:cs="Times New Roman"/>
        </w:rPr>
      </w:pPr>
      <w:r w:rsidRPr="009629CA">
        <w:rPr>
          <w:rFonts w:ascii="Times New Roman" w:hAnsi="Times New Roman" w:cs="Times New Roman"/>
        </w:rPr>
        <w:t xml:space="preserve">Penelitian ini menegaskan pentingnya pendekatan integratif yang menggabungkan kekuatan </w:t>
      </w:r>
      <w:r w:rsidRPr="009629CA">
        <w:rPr>
          <w:rFonts w:ascii="Times New Roman" w:hAnsi="Times New Roman" w:cs="Times New Roman"/>
          <w:i/>
          <w:iCs/>
        </w:rPr>
        <w:t>ushul tafsir</w:t>
      </w:r>
      <w:r w:rsidRPr="009629CA">
        <w:rPr>
          <w:rFonts w:ascii="Times New Roman" w:hAnsi="Times New Roman" w:cs="Times New Roman"/>
        </w:rPr>
        <w:t xml:space="preserve"> dengan hermeneutika untuk menjawab tantangan zaman modern tanpa mengorbankan otoritas teks wahyu. Model seperti </w:t>
      </w:r>
      <w:r w:rsidRPr="009629CA">
        <w:rPr>
          <w:rFonts w:ascii="Times New Roman" w:hAnsi="Times New Roman" w:cs="Times New Roman"/>
          <w:i/>
          <w:iCs/>
        </w:rPr>
        <w:t>Tafsir Maqasidi</w:t>
      </w:r>
      <w:r w:rsidRPr="009629CA">
        <w:rPr>
          <w:rFonts w:ascii="Times New Roman" w:hAnsi="Times New Roman" w:cs="Times New Roman"/>
        </w:rPr>
        <w:t xml:space="preserve"> oleh Jasser Auda dan metodologi kontekstual Quraish Shihab menawarkan kerangka kerja yang relevan dan tetap setia pada prinsip Islam.</w:t>
      </w:r>
    </w:p>
    <w:p w:rsidR="009629CA" w:rsidRDefault="009629CA" w:rsidP="00D60793">
      <w:pPr>
        <w:spacing w:line="276" w:lineRule="auto"/>
        <w:ind w:firstLine="720"/>
        <w:jc w:val="both"/>
        <w:rPr>
          <w:rFonts w:ascii="Times New Roman" w:hAnsi="Times New Roman" w:cs="Times New Roman"/>
          <w:sz w:val="24"/>
          <w:szCs w:val="24"/>
        </w:rPr>
      </w:pPr>
      <w:r w:rsidRPr="009629CA">
        <w:rPr>
          <w:rFonts w:ascii="Times New Roman" w:hAnsi="Times New Roman" w:cs="Times New Roman"/>
        </w:rPr>
        <w:t>Hasil penelitian ini diharapkan dapat menjadi dasar bagi pengembangan metodologi tafsir yang lebih holistik dan inklusif, serta mendorong dialog produktif antara tradisi dan modernitas. Meskipun menghadapi tantangan dalam implementasi, pendekatan integratif ini memiliki potensi besar untuk menjadikan tafsir Al-Qur'an lebih relevan dan aplikatif bagi umat Islam di era globalisasi.</w:t>
      </w:r>
    </w:p>
    <w:p w:rsidR="00A85C01" w:rsidRPr="00D60793" w:rsidRDefault="00A85C01" w:rsidP="00A85C01">
      <w:pPr>
        <w:jc w:val="both"/>
        <w:rPr>
          <w:rFonts w:ascii="Times New Roman" w:hAnsi="Times New Roman" w:cs="Times New Roman"/>
          <w:b/>
          <w:bCs/>
        </w:rPr>
      </w:pPr>
      <w:r w:rsidRPr="00D60793">
        <w:rPr>
          <w:rFonts w:ascii="Times New Roman" w:hAnsi="Times New Roman" w:cs="Times New Roman"/>
          <w:b/>
          <w:bCs/>
        </w:rPr>
        <w:t>Referensi</w:t>
      </w:r>
    </w:p>
    <w:p w:rsidR="00A85C01" w:rsidRPr="00043A6B" w:rsidRDefault="00A85C01" w:rsidP="00043A6B">
      <w:pPr>
        <w:widowControl w:val="0"/>
        <w:autoSpaceDE w:val="0"/>
        <w:autoSpaceDN w:val="0"/>
        <w:adjustRightInd w:val="0"/>
        <w:spacing w:line="276" w:lineRule="auto"/>
        <w:ind w:left="480" w:hanging="480"/>
        <w:jc w:val="both"/>
        <w:rPr>
          <w:rFonts w:ascii="Times New Roman" w:hAnsi="Times New Roman" w:cs="Times New Roman"/>
          <w:noProof/>
          <w:kern w:val="0"/>
        </w:rPr>
      </w:pPr>
      <w:r w:rsidRPr="00043A6B">
        <w:rPr>
          <w:rFonts w:ascii="Times New Roman" w:hAnsi="Times New Roman" w:cs="Times New Roman"/>
        </w:rPr>
        <w:fldChar w:fldCharType="begin" w:fldLock="1"/>
      </w:r>
      <w:r w:rsidRPr="00043A6B">
        <w:rPr>
          <w:rFonts w:ascii="Times New Roman" w:hAnsi="Times New Roman" w:cs="Times New Roman"/>
        </w:rPr>
        <w:instrText xml:space="preserve">ADDIN Mendeley Bibliography CSL_BIBLIOGRAPHY </w:instrText>
      </w:r>
      <w:r w:rsidRPr="00043A6B">
        <w:rPr>
          <w:rFonts w:ascii="Times New Roman" w:hAnsi="Times New Roman" w:cs="Times New Roman"/>
        </w:rPr>
        <w:fldChar w:fldCharType="separate"/>
      </w:r>
      <w:r w:rsidRPr="00043A6B">
        <w:rPr>
          <w:rFonts w:ascii="Times New Roman" w:hAnsi="Times New Roman" w:cs="Times New Roman"/>
          <w:noProof/>
          <w:kern w:val="0"/>
        </w:rPr>
        <w:t xml:space="preserve">Abdullah Saed. </w:t>
      </w:r>
      <w:r w:rsidRPr="00043A6B">
        <w:rPr>
          <w:rFonts w:ascii="Times New Roman" w:hAnsi="Times New Roman" w:cs="Times New Roman"/>
          <w:i/>
          <w:iCs/>
          <w:noProof/>
          <w:kern w:val="0"/>
        </w:rPr>
        <w:t>Hermeneutika Al-Qur’an, h 96</w:t>
      </w:r>
      <w:r w:rsidRPr="00043A6B">
        <w:rPr>
          <w:rFonts w:ascii="Times New Roman" w:hAnsi="Times New Roman" w:cs="Times New Roman"/>
          <w:noProof/>
          <w:kern w:val="0"/>
        </w:rPr>
        <w:t>. Saeed, Hermeneutika Al-Qur’an, Mizan, 2004, hlm. 96)., 2004.</w:t>
      </w:r>
    </w:p>
    <w:p w:rsidR="00A85C01" w:rsidRPr="00043A6B" w:rsidRDefault="00A85C01" w:rsidP="00043A6B">
      <w:pPr>
        <w:widowControl w:val="0"/>
        <w:autoSpaceDE w:val="0"/>
        <w:autoSpaceDN w:val="0"/>
        <w:adjustRightInd w:val="0"/>
        <w:spacing w:line="276" w:lineRule="auto"/>
        <w:ind w:left="480" w:hanging="480"/>
        <w:jc w:val="both"/>
        <w:rPr>
          <w:rFonts w:ascii="Times New Roman" w:hAnsi="Times New Roman" w:cs="Times New Roman"/>
          <w:noProof/>
          <w:kern w:val="0"/>
        </w:rPr>
      </w:pPr>
      <w:r w:rsidRPr="00043A6B">
        <w:rPr>
          <w:rFonts w:ascii="Times New Roman" w:hAnsi="Times New Roman" w:cs="Times New Roman"/>
          <w:noProof/>
          <w:kern w:val="0"/>
        </w:rPr>
        <w:t xml:space="preserve">Ahmad Von Denver. </w:t>
      </w:r>
      <w:r w:rsidRPr="00043A6B">
        <w:rPr>
          <w:rFonts w:ascii="Times New Roman" w:hAnsi="Times New Roman" w:cs="Times New Roman"/>
          <w:i/>
          <w:iCs/>
          <w:noProof/>
          <w:kern w:val="0"/>
        </w:rPr>
        <w:t>Approaches to the Qur’anic Sciences, h 76</w:t>
      </w:r>
      <w:r w:rsidRPr="00043A6B">
        <w:rPr>
          <w:rFonts w:ascii="Times New Roman" w:hAnsi="Times New Roman" w:cs="Times New Roman"/>
          <w:noProof/>
          <w:kern w:val="0"/>
        </w:rPr>
        <w:t>. Von Denffer, Approaches to the Qur’anic Sciences, Islamic Foundation, 1983, hlm. 76)., 1983.</w:t>
      </w:r>
    </w:p>
    <w:p w:rsidR="00A85C01" w:rsidRPr="00043A6B" w:rsidRDefault="00A85C01" w:rsidP="00043A6B">
      <w:pPr>
        <w:widowControl w:val="0"/>
        <w:autoSpaceDE w:val="0"/>
        <w:autoSpaceDN w:val="0"/>
        <w:adjustRightInd w:val="0"/>
        <w:spacing w:line="276" w:lineRule="auto"/>
        <w:ind w:left="480" w:hanging="480"/>
        <w:jc w:val="both"/>
        <w:rPr>
          <w:rFonts w:ascii="Times New Roman" w:hAnsi="Times New Roman" w:cs="Times New Roman"/>
          <w:noProof/>
          <w:kern w:val="0"/>
        </w:rPr>
      </w:pPr>
      <w:r w:rsidRPr="00043A6B">
        <w:rPr>
          <w:rFonts w:ascii="Times New Roman" w:hAnsi="Times New Roman" w:cs="Times New Roman"/>
          <w:noProof/>
          <w:kern w:val="0"/>
        </w:rPr>
        <w:t xml:space="preserve">Akbar, Ali. “Philosophical Hermeneutics and Contemporary Muslim Scholars’ Approaches to Interpreting Scripture.” </w:t>
      </w:r>
      <w:r w:rsidRPr="00043A6B">
        <w:rPr>
          <w:rFonts w:ascii="Times New Roman" w:hAnsi="Times New Roman" w:cs="Times New Roman"/>
          <w:i/>
          <w:iCs/>
          <w:noProof/>
          <w:kern w:val="0"/>
        </w:rPr>
        <w:t>Philosophy &amp; Social Criticism</w:t>
      </w:r>
      <w:r w:rsidRPr="00043A6B">
        <w:rPr>
          <w:rFonts w:ascii="Times New Roman" w:hAnsi="Times New Roman" w:cs="Times New Roman"/>
          <w:noProof/>
          <w:kern w:val="0"/>
        </w:rPr>
        <w:t xml:space="preserve"> 47, no. 5 (2020): 587–614. https://doi.org/10.1177/0191453720931912.</w:t>
      </w:r>
    </w:p>
    <w:p w:rsidR="00A85C01" w:rsidRPr="00043A6B" w:rsidRDefault="00A85C01" w:rsidP="00043A6B">
      <w:pPr>
        <w:widowControl w:val="0"/>
        <w:autoSpaceDE w:val="0"/>
        <w:autoSpaceDN w:val="0"/>
        <w:adjustRightInd w:val="0"/>
        <w:spacing w:line="276" w:lineRule="auto"/>
        <w:ind w:left="480" w:hanging="480"/>
        <w:jc w:val="both"/>
        <w:rPr>
          <w:rFonts w:ascii="Times New Roman" w:hAnsi="Times New Roman" w:cs="Times New Roman"/>
          <w:noProof/>
          <w:kern w:val="0"/>
        </w:rPr>
      </w:pPr>
      <w:r w:rsidRPr="00043A6B">
        <w:rPr>
          <w:rFonts w:ascii="Times New Roman" w:hAnsi="Times New Roman" w:cs="Times New Roman"/>
          <w:noProof/>
          <w:kern w:val="0"/>
        </w:rPr>
        <w:t xml:space="preserve">Fazlur Rahman. </w:t>
      </w:r>
      <w:r w:rsidRPr="00043A6B">
        <w:rPr>
          <w:rFonts w:ascii="Times New Roman" w:hAnsi="Times New Roman" w:cs="Times New Roman"/>
          <w:i/>
          <w:iCs/>
          <w:noProof/>
          <w:kern w:val="0"/>
        </w:rPr>
        <w:t>Islam and Modernity, h 6</w:t>
      </w:r>
      <w:r w:rsidRPr="00043A6B">
        <w:rPr>
          <w:rFonts w:ascii="Times New Roman" w:hAnsi="Times New Roman" w:cs="Times New Roman"/>
          <w:noProof/>
          <w:kern w:val="0"/>
        </w:rPr>
        <w:t>. (Rahman, Islam and Modernity, University of Chicago Press, 1982, hlm. 6)., 1982.</w:t>
      </w:r>
    </w:p>
    <w:p w:rsidR="00A85C01" w:rsidRPr="00043A6B" w:rsidRDefault="00A85C01" w:rsidP="00043A6B">
      <w:pPr>
        <w:widowControl w:val="0"/>
        <w:autoSpaceDE w:val="0"/>
        <w:autoSpaceDN w:val="0"/>
        <w:adjustRightInd w:val="0"/>
        <w:spacing w:line="276" w:lineRule="auto"/>
        <w:ind w:left="480" w:hanging="480"/>
        <w:jc w:val="both"/>
        <w:rPr>
          <w:rFonts w:ascii="Times New Roman" w:hAnsi="Times New Roman" w:cs="Times New Roman"/>
          <w:noProof/>
          <w:kern w:val="0"/>
        </w:rPr>
      </w:pPr>
      <w:r w:rsidRPr="00043A6B">
        <w:rPr>
          <w:rFonts w:ascii="Times New Roman" w:hAnsi="Times New Roman" w:cs="Times New Roman"/>
          <w:noProof/>
          <w:kern w:val="0"/>
        </w:rPr>
        <w:t xml:space="preserve">Firmanto, Enggi R. “Kajian Hermeneutik Dalam Dunia Pendidikan Islam.” </w:t>
      </w:r>
      <w:r w:rsidRPr="00043A6B">
        <w:rPr>
          <w:rFonts w:ascii="Times New Roman" w:hAnsi="Times New Roman" w:cs="Times New Roman"/>
          <w:i/>
          <w:iCs/>
          <w:noProof/>
          <w:kern w:val="0"/>
        </w:rPr>
        <w:t>J-Ceki Jurnal Cendekia Ilmiah</w:t>
      </w:r>
      <w:r w:rsidRPr="00043A6B">
        <w:rPr>
          <w:rFonts w:ascii="Times New Roman" w:hAnsi="Times New Roman" w:cs="Times New Roman"/>
          <w:noProof/>
          <w:kern w:val="0"/>
        </w:rPr>
        <w:t xml:space="preserve"> 1, no. 6 (2022): 840–49. https://doi.org/10.56799/jceki.v1i6.1029.</w:t>
      </w:r>
    </w:p>
    <w:p w:rsidR="00A85C01" w:rsidRPr="00043A6B" w:rsidRDefault="00A85C01" w:rsidP="00043A6B">
      <w:pPr>
        <w:widowControl w:val="0"/>
        <w:autoSpaceDE w:val="0"/>
        <w:autoSpaceDN w:val="0"/>
        <w:adjustRightInd w:val="0"/>
        <w:spacing w:line="276" w:lineRule="auto"/>
        <w:ind w:left="480" w:hanging="480"/>
        <w:jc w:val="both"/>
        <w:rPr>
          <w:rFonts w:ascii="Times New Roman" w:hAnsi="Times New Roman" w:cs="Times New Roman"/>
          <w:noProof/>
          <w:kern w:val="0"/>
        </w:rPr>
      </w:pPr>
      <w:r w:rsidRPr="00043A6B">
        <w:rPr>
          <w:rFonts w:ascii="Times New Roman" w:hAnsi="Times New Roman" w:cs="Times New Roman"/>
          <w:noProof/>
          <w:kern w:val="0"/>
        </w:rPr>
        <w:t xml:space="preserve">G.R. Hawting &amp; Abdul-Kader A. Shareef. </w:t>
      </w:r>
      <w:r w:rsidRPr="00043A6B">
        <w:rPr>
          <w:rFonts w:ascii="Times New Roman" w:hAnsi="Times New Roman" w:cs="Times New Roman"/>
          <w:i/>
          <w:iCs/>
          <w:noProof/>
          <w:kern w:val="0"/>
        </w:rPr>
        <w:t>Approaches to the Qur’an, h 120</w:t>
      </w:r>
      <w:r w:rsidRPr="00043A6B">
        <w:rPr>
          <w:rFonts w:ascii="Times New Roman" w:hAnsi="Times New Roman" w:cs="Times New Roman"/>
          <w:noProof/>
          <w:kern w:val="0"/>
        </w:rPr>
        <w:t>. Hawting &amp; Shareef, Approaches to the Qur’an, Routledge, 1993, hlm. 120)., 1993.</w:t>
      </w:r>
    </w:p>
    <w:p w:rsidR="00A85C01" w:rsidRPr="00043A6B" w:rsidRDefault="00A85C01" w:rsidP="00043A6B">
      <w:pPr>
        <w:widowControl w:val="0"/>
        <w:autoSpaceDE w:val="0"/>
        <w:autoSpaceDN w:val="0"/>
        <w:adjustRightInd w:val="0"/>
        <w:spacing w:line="276" w:lineRule="auto"/>
        <w:ind w:left="480" w:hanging="480"/>
        <w:jc w:val="both"/>
        <w:rPr>
          <w:rFonts w:ascii="Times New Roman" w:hAnsi="Times New Roman" w:cs="Times New Roman"/>
          <w:noProof/>
          <w:kern w:val="0"/>
        </w:rPr>
      </w:pPr>
      <w:r w:rsidRPr="00043A6B">
        <w:rPr>
          <w:rFonts w:ascii="Times New Roman" w:hAnsi="Times New Roman" w:cs="Times New Roman"/>
          <w:noProof/>
          <w:kern w:val="0"/>
        </w:rPr>
        <w:t xml:space="preserve">Ghazipour, Saeed, Mehdi Shirazi, and Seyedeh F H Mirsafi. “The Necessity of Redefining and Presenting a New Perception on the Comprehensive Interpretation of the Holy Quran.” </w:t>
      </w:r>
      <w:r w:rsidRPr="00043A6B">
        <w:rPr>
          <w:rFonts w:ascii="Times New Roman" w:hAnsi="Times New Roman" w:cs="Times New Roman"/>
          <w:i/>
          <w:iCs/>
          <w:noProof/>
          <w:kern w:val="0"/>
        </w:rPr>
        <w:t>Propósitos Y Representaciones</w:t>
      </w:r>
      <w:r w:rsidRPr="00043A6B">
        <w:rPr>
          <w:rFonts w:ascii="Times New Roman" w:hAnsi="Times New Roman" w:cs="Times New Roman"/>
          <w:noProof/>
          <w:kern w:val="0"/>
        </w:rPr>
        <w:t xml:space="preserve"> 9, no. SPE2 (2021). https://doi.org/10.20511/pyr2021.v9nspe2.966.</w:t>
      </w:r>
    </w:p>
    <w:p w:rsidR="00A85C01" w:rsidRPr="00043A6B" w:rsidRDefault="00A85C01" w:rsidP="00043A6B">
      <w:pPr>
        <w:widowControl w:val="0"/>
        <w:autoSpaceDE w:val="0"/>
        <w:autoSpaceDN w:val="0"/>
        <w:adjustRightInd w:val="0"/>
        <w:spacing w:line="276" w:lineRule="auto"/>
        <w:ind w:left="480" w:hanging="480"/>
        <w:jc w:val="both"/>
        <w:rPr>
          <w:rFonts w:ascii="Times New Roman" w:hAnsi="Times New Roman" w:cs="Times New Roman"/>
          <w:noProof/>
          <w:kern w:val="0"/>
        </w:rPr>
      </w:pPr>
      <w:r w:rsidRPr="00043A6B">
        <w:rPr>
          <w:rFonts w:ascii="Times New Roman" w:hAnsi="Times New Roman" w:cs="Times New Roman"/>
          <w:noProof/>
          <w:kern w:val="0"/>
        </w:rPr>
        <w:t xml:space="preserve">Gördük, Y E. “An Analysis on the Relation of Qur’ānic Interpretation (Tafsīr) - Qur’ān Translation: The Example of Transferring the 184th Verse of Surat Al-Baqara To Turkish.” </w:t>
      </w:r>
      <w:r w:rsidRPr="00043A6B">
        <w:rPr>
          <w:rFonts w:ascii="Times New Roman" w:hAnsi="Times New Roman" w:cs="Times New Roman"/>
          <w:i/>
          <w:iCs/>
          <w:noProof/>
          <w:kern w:val="0"/>
        </w:rPr>
        <w:t>Cumhuriyet Ilahiyat Dergisi</w:t>
      </w:r>
      <w:r w:rsidRPr="00043A6B">
        <w:rPr>
          <w:rFonts w:ascii="Times New Roman" w:hAnsi="Times New Roman" w:cs="Times New Roman"/>
          <w:noProof/>
          <w:kern w:val="0"/>
        </w:rPr>
        <w:t xml:space="preserve"> 24, no. 3 (2020): 1455–74. https://doi.org/10.18505/cuid.780369.</w:t>
      </w:r>
    </w:p>
    <w:p w:rsidR="00A85C01" w:rsidRPr="00043A6B" w:rsidRDefault="00A85C01" w:rsidP="00043A6B">
      <w:pPr>
        <w:widowControl w:val="0"/>
        <w:autoSpaceDE w:val="0"/>
        <w:autoSpaceDN w:val="0"/>
        <w:adjustRightInd w:val="0"/>
        <w:spacing w:line="276" w:lineRule="auto"/>
        <w:ind w:left="480" w:hanging="480"/>
        <w:jc w:val="both"/>
        <w:rPr>
          <w:rFonts w:ascii="Times New Roman" w:hAnsi="Times New Roman" w:cs="Times New Roman"/>
          <w:noProof/>
          <w:kern w:val="0"/>
        </w:rPr>
      </w:pPr>
      <w:r w:rsidRPr="00043A6B">
        <w:rPr>
          <w:rFonts w:ascii="Times New Roman" w:hAnsi="Times New Roman" w:cs="Times New Roman"/>
          <w:noProof/>
          <w:kern w:val="0"/>
        </w:rPr>
        <w:t xml:space="preserve">Gul, Waseem A. “Strategy: Can a Research Methodology Be Proposed From Islamic Sources of Knowledge?” </w:t>
      </w:r>
      <w:r w:rsidRPr="00043A6B">
        <w:rPr>
          <w:rFonts w:ascii="Times New Roman" w:hAnsi="Times New Roman" w:cs="Times New Roman"/>
          <w:i/>
          <w:iCs/>
          <w:noProof/>
          <w:kern w:val="0"/>
        </w:rPr>
        <w:t>International Business Research</w:t>
      </w:r>
      <w:r w:rsidRPr="00043A6B">
        <w:rPr>
          <w:rFonts w:ascii="Times New Roman" w:hAnsi="Times New Roman" w:cs="Times New Roman"/>
          <w:noProof/>
          <w:kern w:val="0"/>
        </w:rPr>
        <w:t xml:space="preserve"> 12, no. 7 (2019): 83. https://doi.org/10.5539/ibr.v12n7p83.</w:t>
      </w:r>
    </w:p>
    <w:p w:rsidR="00A85C01" w:rsidRPr="00043A6B" w:rsidRDefault="00A85C01" w:rsidP="00043A6B">
      <w:pPr>
        <w:widowControl w:val="0"/>
        <w:autoSpaceDE w:val="0"/>
        <w:autoSpaceDN w:val="0"/>
        <w:adjustRightInd w:val="0"/>
        <w:spacing w:line="276" w:lineRule="auto"/>
        <w:ind w:left="480" w:hanging="480"/>
        <w:jc w:val="both"/>
        <w:rPr>
          <w:rFonts w:ascii="Times New Roman" w:hAnsi="Times New Roman" w:cs="Times New Roman"/>
          <w:noProof/>
          <w:kern w:val="0"/>
        </w:rPr>
      </w:pPr>
      <w:r w:rsidRPr="00043A6B">
        <w:rPr>
          <w:rFonts w:ascii="Times New Roman" w:hAnsi="Times New Roman" w:cs="Times New Roman"/>
          <w:noProof/>
          <w:kern w:val="0"/>
        </w:rPr>
        <w:t xml:space="preserve">Ibn Tayymiyah. </w:t>
      </w:r>
      <w:r w:rsidRPr="00043A6B">
        <w:rPr>
          <w:rFonts w:ascii="Times New Roman" w:hAnsi="Times New Roman" w:cs="Times New Roman"/>
          <w:i/>
          <w:iCs/>
          <w:noProof/>
          <w:kern w:val="0"/>
        </w:rPr>
        <w:t>Muqaddimah Tafsir, h 78-80</w:t>
      </w:r>
      <w:r w:rsidRPr="00043A6B">
        <w:rPr>
          <w:rFonts w:ascii="Times New Roman" w:hAnsi="Times New Roman" w:cs="Times New Roman"/>
          <w:noProof/>
          <w:kern w:val="0"/>
        </w:rPr>
        <w:t>. Ibn Taymiyyah, Muqaddimah Tafsir, Dar al-Kutub al-‘Ilmiyyah, 2004, hlm. 78-80)., 2004.</w:t>
      </w:r>
    </w:p>
    <w:p w:rsidR="00A85C01" w:rsidRPr="00043A6B" w:rsidRDefault="00A85C01" w:rsidP="00043A6B">
      <w:pPr>
        <w:widowControl w:val="0"/>
        <w:autoSpaceDE w:val="0"/>
        <w:autoSpaceDN w:val="0"/>
        <w:adjustRightInd w:val="0"/>
        <w:spacing w:line="276" w:lineRule="auto"/>
        <w:ind w:left="480" w:hanging="480"/>
        <w:jc w:val="both"/>
        <w:rPr>
          <w:rFonts w:ascii="Times New Roman" w:hAnsi="Times New Roman" w:cs="Times New Roman"/>
          <w:noProof/>
          <w:kern w:val="0"/>
        </w:rPr>
      </w:pPr>
      <w:r w:rsidRPr="00043A6B">
        <w:rPr>
          <w:rFonts w:ascii="Times New Roman" w:hAnsi="Times New Roman" w:cs="Times New Roman"/>
          <w:noProof/>
          <w:kern w:val="0"/>
        </w:rPr>
        <w:t xml:space="preserve">Ichsan, Ahmad S. “Contextualization of Fazlur Rahman’s Thought Towards the Curriculum of Merdeka Belajar in Primary Education.” </w:t>
      </w:r>
      <w:r w:rsidRPr="00043A6B">
        <w:rPr>
          <w:rFonts w:ascii="Times New Roman" w:hAnsi="Times New Roman" w:cs="Times New Roman"/>
          <w:i/>
          <w:iCs/>
          <w:noProof/>
          <w:kern w:val="0"/>
        </w:rPr>
        <w:t>Sicee</w:t>
      </w:r>
      <w:r w:rsidRPr="00043A6B">
        <w:rPr>
          <w:rFonts w:ascii="Times New Roman" w:hAnsi="Times New Roman" w:cs="Times New Roman"/>
          <w:noProof/>
          <w:kern w:val="0"/>
        </w:rPr>
        <w:t xml:space="preserve"> 1, no. 0 (2023): 171. https://doi.org/10.24235/sicee.v1i0.14569.</w:t>
      </w:r>
    </w:p>
    <w:p w:rsidR="00A85C01" w:rsidRPr="00043A6B" w:rsidRDefault="00A85C01" w:rsidP="00043A6B">
      <w:pPr>
        <w:widowControl w:val="0"/>
        <w:autoSpaceDE w:val="0"/>
        <w:autoSpaceDN w:val="0"/>
        <w:adjustRightInd w:val="0"/>
        <w:spacing w:line="276" w:lineRule="auto"/>
        <w:ind w:left="480" w:hanging="480"/>
        <w:jc w:val="both"/>
        <w:rPr>
          <w:rFonts w:ascii="Times New Roman" w:hAnsi="Times New Roman" w:cs="Times New Roman"/>
          <w:noProof/>
          <w:kern w:val="0"/>
        </w:rPr>
      </w:pPr>
      <w:r w:rsidRPr="00043A6B">
        <w:rPr>
          <w:rFonts w:ascii="Times New Roman" w:hAnsi="Times New Roman" w:cs="Times New Roman"/>
          <w:noProof/>
          <w:kern w:val="0"/>
        </w:rPr>
        <w:t xml:space="preserve">Jalaluddin al-Mahalli dan Jalaluddin al-Suyuti. </w:t>
      </w:r>
      <w:r w:rsidRPr="00043A6B">
        <w:rPr>
          <w:rFonts w:ascii="Times New Roman" w:hAnsi="Times New Roman" w:cs="Times New Roman"/>
          <w:i/>
          <w:iCs/>
          <w:noProof/>
          <w:kern w:val="0"/>
        </w:rPr>
        <w:t>Tafsir Al-Jalalayn, Juz I, h 12</w:t>
      </w:r>
      <w:r w:rsidRPr="00043A6B">
        <w:rPr>
          <w:rFonts w:ascii="Times New Roman" w:hAnsi="Times New Roman" w:cs="Times New Roman"/>
          <w:noProof/>
          <w:kern w:val="0"/>
        </w:rPr>
        <w:t xml:space="preserve">. (Tafsir al-Jalalayn, Dar </w:t>
      </w:r>
      <w:r w:rsidRPr="00043A6B">
        <w:rPr>
          <w:rFonts w:ascii="Times New Roman" w:hAnsi="Times New Roman" w:cs="Times New Roman"/>
          <w:noProof/>
          <w:kern w:val="0"/>
        </w:rPr>
        <w:lastRenderedPageBreak/>
        <w:t>al-Ma’rifah, 2005, Juz 1, hlm. 12, 2005.</w:t>
      </w:r>
    </w:p>
    <w:p w:rsidR="00A85C01" w:rsidRPr="00043A6B" w:rsidRDefault="00A85C01" w:rsidP="00043A6B">
      <w:pPr>
        <w:widowControl w:val="0"/>
        <w:autoSpaceDE w:val="0"/>
        <w:autoSpaceDN w:val="0"/>
        <w:adjustRightInd w:val="0"/>
        <w:spacing w:line="276" w:lineRule="auto"/>
        <w:ind w:left="480" w:hanging="480"/>
        <w:jc w:val="both"/>
        <w:rPr>
          <w:rFonts w:ascii="Times New Roman" w:hAnsi="Times New Roman" w:cs="Times New Roman"/>
          <w:noProof/>
          <w:kern w:val="0"/>
        </w:rPr>
      </w:pPr>
      <w:r w:rsidRPr="00043A6B">
        <w:rPr>
          <w:rFonts w:ascii="Times New Roman" w:hAnsi="Times New Roman" w:cs="Times New Roman"/>
          <w:noProof/>
          <w:kern w:val="0"/>
        </w:rPr>
        <w:t xml:space="preserve">Jalaluddin al-Suyuti. </w:t>
      </w:r>
      <w:r w:rsidRPr="00043A6B">
        <w:rPr>
          <w:rFonts w:ascii="Times New Roman" w:hAnsi="Times New Roman" w:cs="Times New Roman"/>
          <w:i/>
          <w:iCs/>
          <w:noProof/>
          <w:kern w:val="0"/>
        </w:rPr>
        <w:t>Al-Itqan Fi Ulum Al-Qur’an, Juz I, h 25</w:t>
      </w:r>
      <w:r w:rsidRPr="00043A6B">
        <w:rPr>
          <w:rFonts w:ascii="Times New Roman" w:hAnsi="Times New Roman" w:cs="Times New Roman"/>
          <w:noProof/>
          <w:kern w:val="0"/>
        </w:rPr>
        <w:t>. Al-Suyuti, Al-Itqan fi Ulum al-Qur’an, Dar al-Kutub al-Ilmiyyah, Juz 1, hlm. 25)., n.d.</w:t>
      </w:r>
    </w:p>
    <w:p w:rsidR="00A85C01" w:rsidRPr="00043A6B" w:rsidRDefault="00A85C01" w:rsidP="00043A6B">
      <w:pPr>
        <w:widowControl w:val="0"/>
        <w:autoSpaceDE w:val="0"/>
        <w:autoSpaceDN w:val="0"/>
        <w:adjustRightInd w:val="0"/>
        <w:spacing w:line="276" w:lineRule="auto"/>
        <w:ind w:left="480" w:hanging="480"/>
        <w:jc w:val="both"/>
        <w:rPr>
          <w:rFonts w:ascii="Times New Roman" w:hAnsi="Times New Roman" w:cs="Times New Roman"/>
          <w:noProof/>
          <w:kern w:val="0"/>
        </w:rPr>
      </w:pPr>
      <w:r w:rsidRPr="00043A6B">
        <w:rPr>
          <w:rFonts w:ascii="Times New Roman" w:hAnsi="Times New Roman" w:cs="Times New Roman"/>
          <w:noProof/>
          <w:kern w:val="0"/>
        </w:rPr>
        <w:t xml:space="preserve">Jassar Auda. </w:t>
      </w:r>
      <w:r w:rsidRPr="00043A6B">
        <w:rPr>
          <w:rFonts w:ascii="Times New Roman" w:hAnsi="Times New Roman" w:cs="Times New Roman"/>
          <w:i/>
          <w:iCs/>
          <w:noProof/>
          <w:kern w:val="0"/>
        </w:rPr>
        <w:t>Maqasid Al-Shariah as Philosophy of Islamic Law, 47</w:t>
      </w:r>
      <w:r w:rsidRPr="00043A6B">
        <w:rPr>
          <w:rFonts w:ascii="Times New Roman" w:hAnsi="Times New Roman" w:cs="Times New Roman"/>
          <w:noProof/>
          <w:kern w:val="0"/>
        </w:rPr>
        <w:t>. (Jasser Auda, Maqasid al-Shariah as Philosophy of Islamic Law, IIIT, 2008, hlm. 47)., 2008.</w:t>
      </w:r>
    </w:p>
    <w:p w:rsidR="00A85C01" w:rsidRPr="00043A6B" w:rsidRDefault="00A85C01" w:rsidP="00043A6B">
      <w:pPr>
        <w:widowControl w:val="0"/>
        <w:autoSpaceDE w:val="0"/>
        <w:autoSpaceDN w:val="0"/>
        <w:adjustRightInd w:val="0"/>
        <w:spacing w:line="276" w:lineRule="auto"/>
        <w:ind w:left="480" w:hanging="480"/>
        <w:jc w:val="both"/>
        <w:rPr>
          <w:rFonts w:ascii="Times New Roman" w:hAnsi="Times New Roman" w:cs="Times New Roman"/>
          <w:noProof/>
          <w:kern w:val="0"/>
        </w:rPr>
      </w:pPr>
      <w:r w:rsidRPr="00043A6B">
        <w:rPr>
          <w:rFonts w:ascii="Times New Roman" w:hAnsi="Times New Roman" w:cs="Times New Roman"/>
          <w:noProof/>
          <w:kern w:val="0"/>
        </w:rPr>
        <w:t xml:space="preserve">Kholilah, Iis. “Hermeneutics of Nationality Fiqh: Study of Bahtsul Masail of Lirboyo Alumni Association.” </w:t>
      </w:r>
      <w:r w:rsidRPr="00043A6B">
        <w:rPr>
          <w:rFonts w:ascii="Times New Roman" w:hAnsi="Times New Roman" w:cs="Times New Roman"/>
          <w:i/>
          <w:iCs/>
          <w:noProof/>
          <w:kern w:val="0"/>
        </w:rPr>
        <w:t>Khazanah Jurnal Studi Islam Dan Humaniora</w:t>
      </w:r>
      <w:r w:rsidRPr="00043A6B">
        <w:rPr>
          <w:rFonts w:ascii="Times New Roman" w:hAnsi="Times New Roman" w:cs="Times New Roman"/>
          <w:noProof/>
          <w:kern w:val="0"/>
        </w:rPr>
        <w:t xml:space="preserve"> 17, no. 1 (2019): 83. https://doi.org/10.18592/khazanah.v17i1.2884.</w:t>
      </w:r>
    </w:p>
    <w:p w:rsidR="00A85C01" w:rsidRPr="00043A6B" w:rsidRDefault="00A85C01" w:rsidP="00043A6B">
      <w:pPr>
        <w:widowControl w:val="0"/>
        <w:autoSpaceDE w:val="0"/>
        <w:autoSpaceDN w:val="0"/>
        <w:adjustRightInd w:val="0"/>
        <w:spacing w:line="276" w:lineRule="auto"/>
        <w:ind w:left="480" w:hanging="480"/>
        <w:jc w:val="both"/>
        <w:rPr>
          <w:rFonts w:ascii="Times New Roman" w:hAnsi="Times New Roman" w:cs="Times New Roman"/>
          <w:noProof/>
          <w:kern w:val="0"/>
        </w:rPr>
      </w:pPr>
      <w:r w:rsidRPr="00043A6B">
        <w:rPr>
          <w:rFonts w:ascii="Times New Roman" w:hAnsi="Times New Roman" w:cs="Times New Roman"/>
          <w:noProof/>
          <w:kern w:val="0"/>
        </w:rPr>
        <w:t xml:space="preserve">Latif, Abdul. “Spektrum Historis Tafsir Al-Qur’an Di Indonesia.” </w:t>
      </w:r>
      <w:r w:rsidRPr="00043A6B">
        <w:rPr>
          <w:rFonts w:ascii="Times New Roman" w:hAnsi="Times New Roman" w:cs="Times New Roman"/>
          <w:i/>
          <w:iCs/>
          <w:noProof/>
          <w:kern w:val="0"/>
        </w:rPr>
        <w:t>Tajdid Jurnal Ilmu Ushuluddin</w:t>
      </w:r>
      <w:r w:rsidRPr="00043A6B">
        <w:rPr>
          <w:rFonts w:ascii="Times New Roman" w:hAnsi="Times New Roman" w:cs="Times New Roman"/>
          <w:noProof/>
          <w:kern w:val="0"/>
        </w:rPr>
        <w:t xml:space="preserve"> 18, no. 1 (2020): 105–24. https://doi.org/10.30631/tjd.v18i1.97.</w:t>
      </w:r>
    </w:p>
    <w:p w:rsidR="00A85C01" w:rsidRPr="00043A6B" w:rsidRDefault="00A85C01" w:rsidP="00043A6B">
      <w:pPr>
        <w:widowControl w:val="0"/>
        <w:autoSpaceDE w:val="0"/>
        <w:autoSpaceDN w:val="0"/>
        <w:adjustRightInd w:val="0"/>
        <w:spacing w:line="276" w:lineRule="auto"/>
        <w:ind w:left="480" w:hanging="480"/>
        <w:jc w:val="both"/>
        <w:rPr>
          <w:rFonts w:ascii="Times New Roman" w:hAnsi="Times New Roman" w:cs="Times New Roman"/>
          <w:noProof/>
          <w:kern w:val="0"/>
        </w:rPr>
      </w:pPr>
      <w:r w:rsidRPr="00043A6B">
        <w:rPr>
          <w:rFonts w:ascii="Times New Roman" w:hAnsi="Times New Roman" w:cs="Times New Roman"/>
          <w:noProof/>
          <w:kern w:val="0"/>
        </w:rPr>
        <w:t xml:space="preserve">M. Quraish Shihab. </w:t>
      </w:r>
      <w:r w:rsidRPr="00043A6B">
        <w:rPr>
          <w:rFonts w:ascii="Times New Roman" w:hAnsi="Times New Roman" w:cs="Times New Roman"/>
          <w:i/>
          <w:iCs/>
          <w:noProof/>
          <w:kern w:val="0"/>
        </w:rPr>
        <w:t>Al-Qur’an Dan Metodologi Tafsir, h 122</w:t>
      </w:r>
      <w:r w:rsidRPr="00043A6B">
        <w:rPr>
          <w:rFonts w:ascii="Times New Roman" w:hAnsi="Times New Roman" w:cs="Times New Roman"/>
          <w:noProof/>
          <w:kern w:val="0"/>
        </w:rPr>
        <w:t>. (Shihab, Al-Qur’an dan Metodologi Tafsir, Lentera Hati, 1996, hlm. 122)., 1996.</w:t>
      </w:r>
    </w:p>
    <w:p w:rsidR="00A85C01" w:rsidRPr="00043A6B" w:rsidRDefault="00A85C01" w:rsidP="00043A6B">
      <w:pPr>
        <w:widowControl w:val="0"/>
        <w:autoSpaceDE w:val="0"/>
        <w:autoSpaceDN w:val="0"/>
        <w:adjustRightInd w:val="0"/>
        <w:spacing w:line="276" w:lineRule="auto"/>
        <w:ind w:left="480" w:hanging="480"/>
        <w:jc w:val="both"/>
        <w:rPr>
          <w:rFonts w:ascii="Times New Roman" w:hAnsi="Times New Roman" w:cs="Times New Roman"/>
          <w:noProof/>
          <w:kern w:val="0"/>
        </w:rPr>
      </w:pPr>
      <w:r w:rsidRPr="00043A6B">
        <w:rPr>
          <w:rFonts w:ascii="Times New Roman" w:hAnsi="Times New Roman" w:cs="Times New Roman"/>
          <w:noProof/>
          <w:kern w:val="0"/>
        </w:rPr>
        <w:t xml:space="preserve">Mohammad Arkoun. </w:t>
      </w:r>
      <w:r w:rsidRPr="00043A6B">
        <w:rPr>
          <w:rFonts w:ascii="Times New Roman" w:hAnsi="Times New Roman" w:cs="Times New Roman"/>
          <w:i/>
          <w:iCs/>
          <w:noProof/>
          <w:kern w:val="0"/>
        </w:rPr>
        <w:t>Reformasi Pemikiran Islam, h 72-73</w:t>
      </w:r>
      <w:r w:rsidRPr="00043A6B">
        <w:rPr>
          <w:rFonts w:ascii="Times New Roman" w:hAnsi="Times New Roman" w:cs="Times New Roman"/>
          <w:noProof/>
          <w:kern w:val="0"/>
        </w:rPr>
        <w:t>. (Arkoun, Reformasi Pemikiran Islam, Pustaka Pelajar, 1994, hlm. 72-73)., 1994.</w:t>
      </w:r>
    </w:p>
    <w:p w:rsidR="00A85C01" w:rsidRPr="00043A6B" w:rsidRDefault="00A85C01" w:rsidP="00043A6B">
      <w:pPr>
        <w:widowControl w:val="0"/>
        <w:autoSpaceDE w:val="0"/>
        <w:autoSpaceDN w:val="0"/>
        <w:adjustRightInd w:val="0"/>
        <w:spacing w:line="276" w:lineRule="auto"/>
        <w:ind w:left="480" w:hanging="480"/>
        <w:jc w:val="both"/>
        <w:rPr>
          <w:rFonts w:ascii="Times New Roman" w:hAnsi="Times New Roman" w:cs="Times New Roman"/>
          <w:noProof/>
          <w:kern w:val="0"/>
        </w:rPr>
      </w:pPr>
      <w:r w:rsidRPr="00043A6B">
        <w:rPr>
          <w:rFonts w:ascii="Times New Roman" w:hAnsi="Times New Roman" w:cs="Times New Roman"/>
          <w:noProof/>
          <w:kern w:val="0"/>
        </w:rPr>
        <w:t xml:space="preserve">Mujahidin, Anwar. “The Implication of Local Wisdom in Tafsir Al-Azhar on Moderate Islamic Thought by Hamka.” </w:t>
      </w:r>
      <w:r w:rsidRPr="00043A6B">
        <w:rPr>
          <w:rFonts w:ascii="Times New Roman" w:hAnsi="Times New Roman" w:cs="Times New Roman"/>
          <w:i/>
          <w:iCs/>
          <w:noProof/>
          <w:kern w:val="0"/>
        </w:rPr>
        <w:t>El Harakah Jurnal Budaya Islam</w:t>
      </w:r>
      <w:r w:rsidRPr="00043A6B">
        <w:rPr>
          <w:rFonts w:ascii="Times New Roman" w:hAnsi="Times New Roman" w:cs="Times New Roman"/>
          <w:noProof/>
          <w:kern w:val="0"/>
        </w:rPr>
        <w:t xml:space="preserve"> 23, no. 2 (2021): 239–55. https://doi.org/10.18860/eh.v23i2.13414.</w:t>
      </w:r>
    </w:p>
    <w:p w:rsidR="00A85C01" w:rsidRPr="00043A6B" w:rsidRDefault="00A85C01" w:rsidP="00043A6B">
      <w:pPr>
        <w:widowControl w:val="0"/>
        <w:autoSpaceDE w:val="0"/>
        <w:autoSpaceDN w:val="0"/>
        <w:adjustRightInd w:val="0"/>
        <w:spacing w:line="276" w:lineRule="auto"/>
        <w:ind w:left="480" w:hanging="480"/>
        <w:jc w:val="both"/>
        <w:rPr>
          <w:rFonts w:ascii="Times New Roman" w:hAnsi="Times New Roman" w:cs="Times New Roman"/>
          <w:noProof/>
          <w:kern w:val="0"/>
        </w:rPr>
      </w:pPr>
      <w:r w:rsidRPr="00043A6B">
        <w:rPr>
          <w:rFonts w:ascii="Times New Roman" w:hAnsi="Times New Roman" w:cs="Times New Roman"/>
          <w:noProof/>
          <w:kern w:val="0"/>
        </w:rPr>
        <w:t xml:space="preserve">Mustansir Mir. </w:t>
      </w:r>
      <w:r w:rsidRPr="00043A6B">
        <w:rPr>
          <w:rFonts w:ascii="Times New Roman" w:hAnsi="Times New Roman" w:cs="Times New Roman"/>
          <w:i/>
          <w:iCs/>
          <w:noProof/>
          <w:kern w:val="0"/>
        </w:rPr>
        <w:t>Hermeneutics and the Qur’an, h 32-35</w:t>
      </w:r>
      <w:r w:rsidRPr="00043A6B">
        <w:rPr>
          <w:rFonts w:ascii="Times New Roman" w:hAnsi="Times New Roman" w:cs="Times New Roman"/>
          <w:noProof/>
          <w:kern w:val="0"/>
        </w:rPr>
        <w:t>. Edited by hlm. 32-35) , Oxford University Press, 1986. Oxford University Press, 1986.</w:t>
      </w:r>
    </w:p>
    <w:p w:rsidR="00A85C01" w:rsidRPr="00043A6B" w:rsidRDefault="00A85C01" w:rsidP="00043A6B">
      <w:pPr>
        <w:widowControl w:val="0"/>
        <w:autoSpaceDE w:val="0"/>
        <w:autoSpaceDN w:val="0"/>
        <w:adjustRightInd w:val="0"/>
        <w:spacing w:line="276" w:lineRule="auto"/>
        <w:ind w:left="480" w:hanging="480"/>
        <w:jc w:val="both"/>
        <w:rPr>
          <w:rFonts w:ascii="Times New Roman" w:hAnsi="Times New Roman" w:cs="Times New Roman"/>
          <w:noProof/>
          <w:kern w:val="0"/>
        </w:rPr>
      </w:pPr>
      <w:r w:rsidRPr="00043A6B">
        <w:rPr>
          <w:rFonts w:ascii="Times New Roman" w:hAnsi="Times New Roman" w:cs="Times New Roman"/>
          <w:noProof/>
          <w:kern w:val="0"/>
        </w:rPr>
        <w:t xml:space="preserve">Nasr Hamid Abu Zayd. </w:t>
      </w:r>
      <w:r w:rsidRPr="00043A6B">
        <w:rPr>
          <w:rFonts w:ascii="Times New Roman" w:hAnsi="Times New Roman" w:cs="Times New Roman"/>
          <w:i/>
          <w:iCs/>
          <w:noProof/>
          <w:kern w:val="0"/>
        </w:rPr>
        <w:t>Al-Nash Wa Al-Sultan, h 45-46</w:t>
      </w:r>
      <w:r w:rsidRPr="00043A6B">
        <w:rPr>
          <w:rFonts w:ascii="Times New Roman" w:hAnsi="Times New Roman" w:cs="Times New Roman"/>
          <w:noProof/>
          <w:kern w:val="0"/>
        </w:rPr>
        <w:t>. Abu Zayd, Al-Nash wa al-Sultan, al-Markaz al-Thaqafi al-Arabi, 1997, hlm. 45-46)., 1997.</w:t>
      </w:r>
    </w:p>
    <w:p w:rsidR="00A85C01" w:rsidRPr="00043A6B" w:rsidRDefault="00A85C01" w:rsidP="00043A6B">
      <w:pPr>
        <w:widowControl w:val="0"/>
        <w:autoSpaceDE w:val="0"/>
        <w:autoSpaceDN w:val="0"/>
        <w:adjustRightInd w:val="0"/>
        <w:spacing w:line="276" w:lineRule="auto"/>
        <w:ind w:left="480" w:hanging="480"/>
        <w:jc w:val="both"/>
        <w:rPr>
          <w:rFonts w:ascii="Times New Roman" w:hAnsi="Times New Roman" w:cs="Times New Roman"/>
          <w:noProof/>
          <w:kern w:val="0"/>
        </w:rPr>
      </w:pPr>
      <w:r w:rsidRPr="00043A6B">
        <w:rPr>
          <w:rFonts w:ascii="Times New Roman" w:hAnsi="Times New Roman" w:cs="Times New Roman"/>
          <w:noProof/>
          <w:kern w:val="0"/>
        </w:rPr>
        <w:t xml:space="preserve">Nasyirudin, Ilyas, and Abdul H Al-Kattani. “Pendidikan Tafsir Bagi Santri Di Pesantren Tahfidz.” </w:t>
      </w:r>
      <w:r w:rsidRPr="00043A6B">
        <w:rPr>
          <w:rFonts w:ascii="Times New Roman" w:hAnsi="Times New Roman" w:cs="Times New Roman"/>
          <w:i/>
          <w:iCs/>
          <w:noProof/>
          <w:kern w:val="0"/>
        </w:rPr>
        <w:t>Tawazun Jurnal Pendidikan Islam</w:t>
      </w:r>
      <w:r w:rsidRPr="00043A6B">
        <w:rPr>
          <w:rFonts w:ascii="Times New Roman" w:hAnsi="Times New Roman" w:cs="Times New Roman"/>
          <w:noProof/>
          <w:kern w:val="0"/>
        </w:rPr>
        <w:t xml:space="preserve"> 15, no. 3 (2023): 429. https://doi.org/10.32832/tawazun.v15i3.9134.</w:t>
      </w:r>
    </w:p>
    <w:p w:rsidR="00A85C01" w:rsidRPr="00043A6B" w:rsidRDefault="00A85C01" w:rsidP="00043A6B">
      <w:pPr>
        <w:widowControl w:val="0"/>
        <w:autoSpaceDE w:val="0"/>
        <w:autoSpaceDN w:val="0"/>
        <w:adjustRightInd w:val="0"/>
        <w:spacing w:line="276" w:lineRule="auto"/>
        <w:ind w:left="480" w:hanging="480"/>
        <w:jc w:val="both"/>
        <w:rPr>
          <w:rFonts w:ascii="Times New Roman" w:hAnsi="Times New Roman" w:cs="Times New Roman"/>
          <w:noProof/>
          <w:kern w:val="0"/>
        </w:rPr>
      </w:pPr>
      <w:r w:rsidRPr="00043A6B">
        <w:rPr>
          <w:rFonts w:ascii="Times New Roman" w:hAnsi="Times New Roman" w:cs="Times New Roman"/>
          <w:noProof/>
          <w:kern w:val="0"/>
        </w:rPr>
        <w:t xml:space="preserve">Peta, Ines. “Aḥmad Amīn’s Rationalist Approach to the Qur’ān and Sunnah.” </w:t>
      </w:r>
      <w:r w:rsidRPr="00043A6B">
        <w:rPr>
          <w:rFonts w:ascii="Times New Roman" w:hAnsi="Times New Roman" w:cs="Times New Roman"/>
          <w:i/>
          <w:iCs/>
          <w:noProof/>
          <w:kern w:val="0"/>
        </w:rPr>
        <w:t>Religions</w:t>
      </w:r>
      <w:r w:rsidRPr="00043A6B">
        <w:rPr>
          <w:rFonts w:ascii="Times New Roman" w:hAnsi="Times New Roman" w:cs="Times New Roman"/>
          <w:noProof/>
          <w:kern w:val="0"/>
        </w:rPr>
        <w:t xml:space="preserve"> 13, no. 3 (2022): 234. https://doi.org/10.3390/rel13030234.</w:t>
      </w:r>
    </w:p>
    <w:p w:rsidR="00A85C01" w:rsidRPr="00043A6B" w:rsidRDefault="00A85C01" w:rsidP="00043A6B">
      <w:pPr>
        <w:widowControl w:val="0"/>
        <w:autoSpaceDE w:val="0"/>
        <w:autoSpaceDN w:val="0"/>
        <w:adjustRightInd w:val="0"/>
        <w:spacing w:line="276" w:lineRule="auto"/>
        <w:ind w:left="480" w:hanging="480"/>
        <w:jc w:val="both"/>
        <w:rPr>
          <w:rFonts w:ascii="Times New Roman" w:hAnsi="Times New Roman" w:cs="Times New Roman"/>
          <w:noProof/>
          <w:kern w:val="0"/>
        </w:rPr>
      </w:pPr>
      <w:r w:rsidRPr="00043A6B">
        <w:rPr>
          <w:rFonts w:ascii="Times New Roman" w:hAnsi="Times New Roman" w:cs="Times New Roman"/>
          <w:noProof/>
          <w:kern w:val="0"/>
        </w:rPr>
        <w:t xml:space="preserve">Prihantoro, Syukur. “Maqasid Al-Syari’ah Dalam Pandangan Jasser Auda (Sebuah Upaya Rekontruksi Hukum Islam Melalui Pendekatan Sistem).” </w:t>
      </w:r>
      <w:r w:rsidRPr="00043A6B">
        <w:rPr>
          <w:rFonts w:ascii="Times New Roman" w:hAnsi="Times New Roman" w:cs="Times New Roman"/>
          <w:i/>
          <w:iCs/>
          <w:noProof/>
          <w:kern w:val="0"/>
        </w:rPr>
        <w:t>Jurnal At-Tafkir</w:t>
      </w:r>
      <w:r w:rsidRPr="00043A6B">
        <w:rPr>
          <w:rFonts w:ascii="Times New Roman" w:hAnsi="Times New Roman" w:cs="Times New Roman"/>
          <w:noProof/>
          <w:kern w:val="0"/>
        </w:rPr>
        <w:t xml:space="preserve"> 10, no. 1 (2017): 120–34. https://doi.org/https://journal.iainlangsa.ac.id/index.php/at/article/view/235.</w:t>
      </w:r>
    </w:p>
    <w:p w:rsidR="00A85C01" w:rsidRPr="00043A6B" w:rsidRDefault="00A85C01" w:rsidP="00043A6B">
      <w:pPr>
        <w:widowControl w:val="0"/>
        <w:autoSpaceDE w:val="0"/>
        <w:autoSpaceDN w:val="0"/>
        <w:adjustRightInd w:val="0"/>
        <w:spacing w:line="276" w:lineRule="auto"/>
        <w:ind w:left="480" w:hanging="480"/>
        <w:jc w:val="both"/>
        <w:rPr>
          <w:rFonts w:ascii="Times New Roman" w:hAnsi="Times New Roman" w:cs="Times New Roman"/>
          <w:noProof/>
          <w:kern w:val="0"/>
        </w:rPr>
      </w:pPr>
      <w:r w:rsidRPr="00043A6B">
        <w:rPr>
          <w:rFonts w:ascii="Times New Roman" w:hAnsi="Times New Roman" w:cs="Times New Roman"/>
          <w:noProof/>
          <w:kern w:val="0"/>
        </w:rPr>
        <w:t xml:space="preserve">Rahmatullah, Rahmatullah, Hudriansyah Hudriansyah, and Mursalim Mursalim. “M. Quraish Shihab Dan Pengaruhnya Terhadap Dinamika Studi Tafsir Al-Qur’an Indonesia Kontemporer.” </w:t>
      </w:r>
      <w:r w:rsidRPr="00043A6B">
        <w:rPr>
          <w:rFonts w:ascii="Times New Roman" w:hAnsi="Times New Roman" w:cs="Times New Roman"/>
          <w:i/>
          <w:iCs/>
          <w:noProof/>
          <w:kern w:val="0"/>
        </w:rPr>
        <w:t>Suhuf</w:t>
      </w:r>
      <w:r w:rsidRPr="00043A6B">
        <w:rPr>
          <w:rFonts w:ascii="Times New Roman" w:hAnsi="Times New Roman" w:cs="Times New Roman"/>
          <w:noProof/>
          <w:kern w:val="0"/>
        </w:rPr>
        <w:t xml:space="preserve"> 14, no. 1 (2021): 127–51. https://doi.org/10.22548/shf.v14i1.618.</w:t>
      </w:r>
    </w:p>
    <w:p w:rsidR="00A85C01" w:rsidRPr="00043A6B" w:rsidRDefault="00A85C01" w:rsidP="00043A6B">
      <w:pPr>
        <w:widowControl w:val="0"/>
        <w:autoSpaceDE w:val="0"/>
        <w:autoSpaceDN w:val="0"/>
        <w:adjustRightInd w:val="0"/>
        <w:spacing w:line="276" w:lineRule="auto"/>
        <w:ind w:left="480" w:hanging="480"/>
        <w:jc w:val="both"/>
        <w:rPr>
          <w:rFonts w:ascii="Times New Roman" w:hAnsi="Times New Roman" w:cs="Times New Roman"/>
          <w:noProof/>
          <w:kern w:val="0"/>
        </w:rPr>
      </w:pPr>
      <w:r w:rsidRPr="00043A6B">
        <w:rPr>
          <w:rFonts w:ascii="Times New Roman" w:hAnsi="Times New Roman" w:cs="Times New Roman"/>
          <w:noProof/>
          <w:kern w:val="0"/>
        </w:rPr>
        <w:t>Riyani, Irma, and Ecep Ismail. “QGOD IS BEYOND SEX/GENDERq MUSLIM FEMINIST HERMENEUTICAL METHOD TO THE QUR’An,” 2018. https://doi.org/10.2991/icqhs-17.2018.24.</w:t>
      </w:r>
    </w:p>
    <w:p w:rsidR="00A85C01" w:rsidRPr="00043A6B" w:rsidRDefault="00A85C01" w:rsidP="00043A6B">
      <w:pPr>
        <w:widowControl w:val="0"/>
        <w:autoSpaceDE w:val="0"/>
        <w:autoSpaceDN w:val="0"/>
        <w:adjustRightInd w:val="0"/>
        <w:spacing w:line="276" w:lineRule="auto"/>
        <w:ind w:left="480" w:hanging="480"/>
        <w:jc w:val="both"/>
        <w:rPr>
          <w:rFonts w:ascii="Times New Roman" w:hAnsi="Times New Roman" w:cs="Times New Roman"/>
          <w:noProof/>
          <w:kern w:val="0"/>
        </w:rPr>
      </w:pPr>
      <w:r w:rsidRPr="00043A6B">
        <w:rPr>
          <w:rFonts w:ascii="Times New Roman" w:hAnsi="Times New Roman" w:cs="Times New Roman"/>
          <w:noProof/>
          <w:kern w:val="0"/>
        </w:rPr>
        <w:t xml:space="preserve">Rohmatika, Ratu V. “Pendekatan Interdisipliner Dan Multidisipliner Dalam Studi Islam.” </w:t>
      </w:r>
      <w:r w:rsidRPr="00043A6B">
        <w:rPr>
          <w:rFonts w:ascii="Times New Roman" w:hAnsi="Times New Roman" w:cs="Times New Roman"/>
          <w:i/>
          <w:iCs/>
          <w:noProof/>
          <w:kern w:val="0"/>
        </w:rPr>
        <w:t>Al-Adyan Jurnal Studi Lintas Agama</w:t>
      </w:r>
      <w:r w:rsidRPr="00043A6B">
        <w:rPr>
          <w:rFonts w:ascii="Times New Roman" w:hAnsi="Times New Roman" w:cs="Times New Roman"/>
          <w:noProof/>
          <w:kern w:val="0"/>
        </w:rPr>
        <w:t xml:space="preserve"> 14, no. 1 (2019): 115–32. https://doi.org/10.24042/ajsla.v14i1.4681.</w:t>
      </w:r>
    </w:p>
    <w:p w:rsidR="00A85C01" w:rsidRPr="00043A6B" w:rsidRDefault="00A85C01" w:rsidP="00043A6B">
      <w:pPr>
        <w:widowControl w:val="0"/>
        <w:autoSpaceDE w:val="0"/>
        <w:autoSpaceDN w:val="0"/>
        <w:adjustRightInd w:val="0"/>
        <w:spacing w:line="276" w:lineRule="auto"/>
        <w:ind w:left="480" w:hanging="480"/>
        <w:jc w:val="both"/>
        <w:rPr>
          <w:rFonts w:ascii="Times New Roman" w:hAnsi="Times New Roman" w:cs="Times New Roman"/>
          <w:noProof/>
          <w:kern w:val="0"/>
        </w:rPr>
      </w:pPr>
      <w:r w:rsidRPr="00043A6B">
        <w:rPr>
          <w:rFonts w:ascii="Times New Roman" w:hAnsi="Times New Roman" w:cs="Times New Roman"/>
          <w:noProof/>
          <w:kern w:val="0"/>
        </w:rPr>
        <w:t xml:space="preserve">Shomad, Abdus. “Otoritas Laki-Laki Dan Perempuan: Studi Penafsiran Kontekstual Abdullah Saeed Terhadap Qs. An-Nisa 4: 34.” </w:t>
      </w:r>
      <w:r w:rsidRPr="00043A6B">
        <w:rPr>
          <w:rFonts w:ascii="Times New Roman" w:hAnsi="Times New Roman" w:cs="Times New Roman"/>
          <w:i/>
          <w:iCs/>
          <w:noProof/>
          <w:kern w:val="0"/>
        </w:rPr>
        <w:t>Jurnal Aliflam Journal of Islamic Studies and Humanities</w:t>
      </w:r>
      <w:r w:rsidRPr="00043A6B">
        <w:rPr>
          <w:rFonts w:ascii="Times New Roman" w:hAnsi="Times New Roman" w:cs="Times New Roman"/>
          <w:noProof/>
          <w:kern w:val="0"/>
        </w:rPr>
        <w:t xml:space="preserve"> 3, no. 1 </w:t>
      </w:r>
      <w:r w:rsidRPr="00043A6B">
        <w:rPr>
          <w:rFonts w:ascii="Times New Roman" w:hAnsi="Times New Roman" w:cs="Times New Roman"/>
          <w:noProof/>
          <w:kern w:val="0"/>
        </w:rPr>
        <w:lastRenderedPageBreak/>
        <w:t>(2022): 1–21. https://doi.org/10.51700/aliflam.v3i1.432.</w:t>
      </w:r>
    </w:p>
    <w:p w:rsidR="00A85C01" w:rsidRPr="00043A6B" w:rsidRDefault="00A85C01" w:rsidP="00043A6B">
      <w:pPr>
        <w:widowControl w:val="0"/>
        <w:autoSpaceDE w:val="0"/>
        <w:autoSpaceDN w:val="0"/>
        <w:adjustRightInd w:val="0"/>
        <w:spacing w:line="276" w:lineRule="auto"/>
        <w:ind w:left="480" w:hanging="480"/>
        <w:jc w:val="both"/>
        <w:rPr>
          <w:rFonts w:ascii="Times New Roman" w:hAnsi="Times New Roman" w:cs="Times New Roman"/>
          <w:noProof/>
          <w:kern w:val="0"/>
        </w:rPr>
      </w:pPr>
      <w:r w:rsidRPr="00043A6B">
        <w:rPr>
          <w:rFonts w:ascii="Times New Roman" w:hAnsi="Times New Roman" w:cs="Times New Roman"/>
          <w:noProof/>
          <w:kern w:val="0"/>
        </w:rPr>
        <w:t xml:space="preserve">Sidik, Humar, and Ika P Sulistyana. “Hermeneutika Sebuah Metode Interpretasi Dalam Kajian Filsafat Sejarah.” </w:t>
      </w:r>
      <w:r w:rsidRPr="00043A6B">
        <w:rPr>
          <w:rFonts w:ascii="Times New Roman" w:hAnsi="Times New Roman" w:cs="Times New Roman"/>
          <w:i/>
          <w:iCs/>
          <w:noProof/>
          <w:kern w:val="0"/>
        </w:rPr>
        <w:t>Agastya Jurnal Sejarah Dan Pembelajarannya</w:t>
      </w:r>
      <w:r w:rsidRPr="00043A6B">
        <w:rPr>
          <w:rFonts w:ascii="Times New Roman" w:hAnsi="Times New Roman" w:cs="Times New Roman"/>
          <w:noProof/>
          <w:kern w:val="0"/>
        </w:rPr>
        <w:t xml:space="preserve"> 11, no. 1 (2021): 19. https://doi.org/10.25273/ajsp.v11i1.6224.</w:t>
      </w:r>
    </w:p>
    <w:p w:rsidR="00A85C01" w:rsidRPr="00043A6B" w:rsidRDefault="00A85C01" w:rsidP="00043A6B">
      <w:pPr>
        <w:widowControl w:val="0"/>
        <w:autoSpaceDE w:val="0"/>
        <w:autoSpaceDN w:val="0"/>
        <w:adjustRightInd w:val="0"/>
        <w:spacing w:line="276" w:lineRule="auto"/>
        <w:ind w:left="480" w:hanging="480"/>
        <w:jc w:val="both"/>
        <w:rPr>
          <w:rFonts w:ascii="Times New Roman" w:hAnsi="Times New Roman" w:cs="Times New Roman"/>
          <w:noProof/>
          <w:kern w:val="0"/>
        </w:rPr>
      </w:pPr>
      <w:r w:rsidRPr="00043A6B">
        <w:rPr>
          <w:rFonts w:ascii="Times New Roman" w:hAnsi="Times New Roman" w:cs="Times New Roman"/>
          <w:noProof/>
          <w:kern w:val="0"/>
        </w:rPr>
        <w:t>Takim, Liyakat. “The Concept of an Islamic Reformation,” 2021, 9–56. https://doi.org/10.1093/oso/9780197606575.003.0002.</w:t>
      </w:r>
    </w:p>
    <w:p w:rsidR="00A85C01" w:rsidRPr="00043A6B" w:rsidRDefault="00A85C01" w:rsidP="00043A6B">
      <w:pPr>
        <w:widowControl w:val="0"/>
        <w:autoSpaceDE w:val="0"/>
        <w:autoSpaceDN w:val="0"/>
        <w:adjustRightInd w:val="0"/>
        <w:spacing w:line="276" w:lineRule="auto"/>
        <w:ind w:left="480" w:hanging="480"/>
        <w:jc w:val="both"/>
        <w:rPr>
          <w:rFonts w:ascii="Times New Roman" w:hAnsi="Times New Roman" w:cs="Times New Roman"/>
          <w:noProof/>
          <w:kern w:val="0"/>
        </w:rPr>
      </w:pPr>
      <w:r w:rsidRPr="00043A6B">
        <w:rPr>
          <w:rFonts w:ascii="Times New Roman" w:hAnsi="Times New Roman" w:cs="Times New Roman"/>
          <w:noProof/>
          <w:kern w:val="0"/>
        </w:rPr>
        <w:t xml:space="preserve">Triasa, Arif R. “Dinamika Pendekatan Interdisipliner: Hambatan Dan Proyeksi Dalam Penelitian Studi Islam.” </w:t>
      </w:r>
      <w:r w:rsidRPr="00043A6B">
        <w:rPr>
          <w:rFonts w:ascii="Times New Roman" w:hAnsi="Times New Roman" w:cs="Times New Roman"/>
          <w:i/>
          <w:iCs/>
          <w:noProof/>
          <w:kern w:val="0"/>
        </w:rPr>
        <w:t>Iklila</w:t>
      </w:r>
      <w:r w:rsidRPr="00043A6B">
        <w:rPr>
          <w:rFonts w:ascii="Times New Roman" w:hAnsi="Times New Roman" w:cs="Times New Roman"/>
          <w:noProof/>
          <w:kern w:val="0"/>
        </w:rPr>
        <w:t xml:space="preserve"> 6, no. 2 (2024): 17–31. https://doi.org/10.61941/iklila.v6i2.177.</w:t>
      </w:r>
    </w:p>
    <w:p w:rsidR="00A85C01" w:rsidRPr="00043A6B" w:rsidRDefault="00A85C01" w:rsidP="00043A6B">
      <w:pPr>
        <w:widowControl w:val="0"/>
        <w:autoSpaceDE w:val="0"/>
        <w:autoSpaceDN w:val="0"/>
        <w:adjustRightInd w:val="0"/>
        <w:spacing w:line="276" w:lineRule="auto"/>
        <w:ind w:left="480" w:hanging="480"/>
        <w:jc w:val="both"/>
        <w:rPr>
          <w:rFonts w:ascii="Times New Roman" w:hAnsi="Times New Roman" w:cs="Times New Roman"/>
          <w:noProof/>
          <w:kern w:val="0"/>
        </w:rPr>
      </w:pPr>
      <w:r w:rsidRPr="00043A6B">
        <w:rPr>
          <w:rFonts w:ascii="Times New Roman" w:hAnsi="Times New Roman" w:cs="Times New Roman"/>
          <w:noProof/>
          <w:kern w:val="0"/>
        </w:rPr>
        <w:t xml:space="preserve">Wadud, Amina. “Reflections on Islamic Feminist Exegesis of the Qur’An.” </w:t>
      </w:r>
      <w:r w:rsidRPr="00043A6B">
        <w:rPr>
          <w:rFonts w:ascii="Times New Roman" w:hAnsi="Times New Roman" w:cs="Times New Roman"/>
          <w:i/>
          <w:iCs/>
          <w:noProof/>
          <w:kern w:val="0"/>
        </w:rPr>
        <w:t>Religions</w:t>
      </w:r>
      <w:r w:rsidRPr="00043A6B">
        <w:rPr>
          <w:rFonts w:ascii="Times New Roman" w:hAnsi="Times New Roman" w:cs="Times New Roman"/>
          <w:noProof/>
          <w:kern w:val="0"/>
        </w:rPr>
        <w:t xml:space="preserve"> 12, no. 7 (2021): 497. https://doi.org/10.3390/rel12070497.</w:t>
      </w:r>
    </w:p>
    <w:p w:rsidR="00A85C01" w:rsidRPr="00043A6B" w:rsidRDefault="00A85C01" w:rsidP="00043A6B">
      <w:pPr>
        <w:widowControl w:val="0"/>
        <w:autoSpaceDE w:val="0"/>
        <w:autoSpaceDN w:val="0"/>
        <w:adjustRightInd w:val="0"/>
        <w:spacing w:line="276" w:lineRule="auto"/>
        <w:ind w:left="480" w:hanging="480"/>
        <w:jc w:val="both"/>
        <w:rPr>
          <w:rFonts w:ascii="Times New Roman" w:hAnsi="Times New Roman" w:cs="Times New Roman"/>
          <w:noProof/>
          <w:kern w:val="0"/>
        </w:rPr>
      </w:pPr>
      <w:r w:rsidRPr="00043A6B">
        <w:rPr>
          <w:rFonts w:ascii="Times New Roman" w:hAnsi="Times New Roman" w:cs="Times New Roman"/>
          <w:noProof/>
          <w:kern w:val="0"/>
        </w:rPr>
        <w:t xml:space="preserve">Wajdi, Muh B N, Nur I Husniyah, Victor I Ahmad, Miftakhul I S Putra, and Ahmad M Syarofi. “Understanding the Quran Holistically: Interdisciplinary Study of the Language and Linguistics of the Quran.” </w:t>
      </w:r>
      <w:r w:rsidRPr="00043A6B">
        <w:rPr>
          <w:rFonts w:ascii="Times New Roman" w:hAnsi="Times New Roman" w:cs="Times New Roman"/>
          <w:i/>
          <w:iCs/>
          <w:noProof/>
          <w:kern w:val="0"/>
        </w:rPr>
        <w:t>Basa Journal of Language &amp; Literature</w:t>
      </w:r>
      <w:r w:rsidRPr="00043A6B">
        <w:rPr>
          <w:rFonts w:ascii="Times New Roman" w:hAnsi="Times New Roman" w:cs="Times New Roman"/>
          <w:noProof/>
          <w:kern w:val="0"/>
        </w:rPr>
        <w:t xml:space="preserve"> 3, no. 1 (2023): 11–17. https://doi.org/10.33474/basa.v3i1.19596.</w:t>
      </w:r>
    </w:p>
    <w:p w:rsidR="00A85C01" w:rsidRPr="00043A6B" w:rsidRDefault="00A85C01" w:rsidP="00043A6B">
      <w:pPr>
        <w:widowControl w:val="0"/>
        <w:autoSpaceDE w:val="0"/>
        <w:autoSpaceDN w:val="0"/>
        <w:adjustRightInd w:val="0"/>
        <w:spacing w:line="276" w:lineRule="auto"/>
        <w:ind w:left="480" w:hanging="480"/>
        <w:jc w:val="both"/>
        <w:rPr>
          <w:rFonts w:ascii="Times New Roman" w:hAnsi="Times New Roman" w:cs="Times New Roman"/>
          <w:noProof/>
          <w:kern w:val="0"/>
        </w:rPr>
      </w:pPr>
      <w:r w:rsidRPr="00043A6B">
        <w:rPr>
          <w:rFonts w:ascii="Times New Roman" w:hAnsi="Times New Roman" w:cs="Times New Roman"/>
          <w:noProof/>
          <w:kern w:val="0"/>
        </w:rPr>
        <w:t xml:space="preserve">Yasir Qadi. </w:t>
      </w:r>
      <w:r w:rsidRPr="00043A6B">
        <w:rPr>
          <w:rFonts w:ascii="Times New Roman" w:hAnsi="Times New Roman" w:cs="Times New Roman"/>
          <w:i/>
          <w:iCs/>
          <w:noProof/>
          <w:kern w:val="0"/>
        </w:rPr>
        <w:t>Introduction to the Principles of Qur’anic Exegesis, h 57</w:t>
      </w:r>
      <w:r w:rsidRPr="00043A6B">
        <w:rPr>
          <w:rFonts w:ascii="Times New Roman" w:hAnsi="Times New Roman" w:cs="Times New Roman"/>
          <w:noProof/>
          <w:kern w:val="0"/>
        </w:rPr>
        <w:t>. Al-Hidaayah Publishing, 1999, hlm. 57)., 1999.</w:t>
      </w:r>
    </w:p>
    <w:p w:rsidR="00A85C01" w:rsidRPr="00043A6B" w:rsidRDefault="00A85C01" w:rsidP="00043A6B">
      <w:pPr>
        <w:widowControl w:val="0"/>
        <w:autoSpaceDE w:val="0"/>
        <w:autoSpaceDN w:val="0"/>
        <w:adjustRightInd w:val="0"/>
        <w:spacing w:line="276" w:lineRule="auto"/>
        <w:ind w:left="480" w:hanging="480"/>
        <w:jc w:val="both"/>
        <w:rPr>
          <w:rFonts w:ascii="Times New Roman" w:hAnsi="Times New Roman" w:cs="Times New Roman"/>
          <w:noProof/>
        </w:rPr>
      </w:pPr>
      <w:r w:rsidRPr="00043A6B">
        <w:rPr>
          <w:rFonts w:ascii="Times New Roman" w:hAnsi="Times New Roman" w:cs="Times New Roman"/>
          <w:noProof/>
          <w:kern w:val="0"/>
        </w:rPr>
        <w:t xml:space="preserve">Zayyadi, Ahmad, and Nurlaela Nurlaela. “No Title.” </w:t>
      </w:r>
      <w:r w:rsidRPr="00043A6B">
        <w:rPr>
          <w:rFonts w:ascii="Times New Roman" w:hAnsi="Times New Roman" w:cs="Times New Roman"/>
          <w:i/>
          <w:iCs/>
          <w:noProof/>
          <w:kern w:val="0"/>
        </w:rPr>
        <w:t>Matan Journal of Islam and Muslim Society</w:t>
      </w:r>
      <w:r w:rsidRPr="00043A6B">
        <w:rPr>
          <w:rFonts w:ascii="Times New Roman" w:hAnsi="Times New Roman" w:cs="Times New Roman"/>
          <w:noProof/>
          <w:kern w:val="0"/>
        </w:rPr>
        <w:t xml:space="preserve"> 2, no. 2 (2020): 171. https://doi.org/10.20884/1.matan.2020.2.2.2989.</w:t>
      </w:r>
    </w:p>
    <w:p w:rsidR="00A85C01" w:rsidRPr="009629CA" w:rsidRDefault="00A85C01" w:rsidP="00043A6B">
      <w:pPr>
        <w:spacing w:line="276" w:lineRule="auto"/>
        <w:jc w:val="both"/>
        <w:rPr>
          <w:rFonts w:ascii="Times New Roman" w:hAnsi="Times New Roman" w:cs="Times New Roman"/>
        </w:rPr>
      </w:pPr>
      <w:r w:rsidRPr="00043A6B">
        <w:rPr>
          <w:rFonts w:ascii="Times New Roman" w:hAnsi="Times New Roman" w:cs="Times New Roman"/>
        </w:rPr>
        <w:fldChar w:fldCharType="end"/>
      </w:r>
    </w:p>
    <w:p w:rsidR="009629CA" w:rsidRPr="00BD0EE8" w:rsidRDefault="009629CA" w:rsidP="009629CA">
      <w:pPr>
        <w:jc w:val="both"/>
        <w:rPr>
          <w:rFonts w:ascii="Times New Roman" w:hAnsi="Times New Roman" w:cs="Times New Roman"/>
          <w:sz w:val="24"/>
          <w:szCs w:val="24"/>
        </w:rPr>
      </w:pPr>
    </w:p>
    <w:p w:rsidR="00E41FD3" w:rsidRPr="00E41FD3" w:rsidRDefault="00E41FD3" w:rsidP="009629CA">
      <w:pPr>
        <w:jc w:val="both"/>
        <w:rPr>
          <w:rFonts w:ascii="Times New Roman" w:hAnsi="Times New Roman" w:cs="Times New Roman"/>
          <w:sz w:val="24"/>
          <w:szCs w:val="24"/>
        </w:rPr>
      </w:pPr>
    </w:p>
    <w:p w:rsidR="00E41FD3" w:rsidRPr="009629CA" w:rsidRDefault="00E41FD3" w:rsidP="009629CA">
      <w:pPr>
        <w:jc w:val="both"/>
        <w:rPr>
          <w:rFonts w:ascii="Times New Roman" w:hAnsi="Times New Roman" w:cs="Times New Roman"/>
          <w:sz w:val="24"/>
          <w:szCs w:val="24"/>
        </w:rPr>
      </w:pPr>
    </w:p>
    <w:p w:rsidR="00E41FD3" w:rsidRPr="009629CA" w:rsidRDefault="00E41FD3" w:rsidP="009629CA">
      <w:pPr>
        <w:jc w:val="both"/>
        <w:rPr>
          <w:rFonts w:ascii="Times New Roman" w:hAnsi="Times New Roman" w:cs="Times New Roman"/>
          <w:sz w:val="24"/>
          <w:szCs w:val="24"/>
        </w:rPr>
      </w:pPr>
    </w:p>
    <w:sectPr w:rsidR="00E41FD3" w:rsidRPr="009629CA" w:rsidSect="00E10E51">
      <w:pgSz w:w="11906" w:h="16838"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048D0" w:rsidRDefault="005048D0" w:rsidP="00145ACF">
      <w:pPr>
        <w:spacing w:after="0" w:line="240" w:lineRule="auto"/>
      </w:pPr>
      <w:r>
        <w:separator/>
      </w:r>
    </w:p>
  </w:endnote>
  <w:endnote w:type="continuationSeparator" w:id="0">
    <w:p w:rsidR="005048D0" w:rsidRDefault="005048D0" w:rsidP="00145A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048D0" w:rsidRDefault="005048D0" w:rsidP="00145ACF">
      <w:pPr>
        <w:spacing w:after="0" w:line="240" w:lineRule="auto"/>
      </w:pPr>
      <w:r>
        <w:separator/>
      </w:r>
    </w:p>
  </w:footnote>
  <w:footnote w:type="continuationSeparator" w:id="0">
    <w:p w:rsidR="005048D0" w:rsidRDefault="005048D0" w:rsidP="00145ACF">
      <w:pPr>
        <w:spacing w:after="0" w:line="240" w:lineRule="auto"/>
      </w:pPr>
      <w:r>
        <w:continuationSeparator/>
      </w:r>
    </w:p>
  </w:footnote>
  <w:footnote w:id="1">
    <w:p w:rsidR="00145ACF" w:rsidRPr="00A85C01" w:rsidRDefault="00145ACF" w:rsidP="00A85C01">
      <w:pPr>
        <w:pStyle w:val="FootnoteText"/>
        <w:ind w:firstLine="720"/>
        <w:jc w:val="both"/>
        <w:rPr>
          <w:rFonts w:ascii="Times New Roman" w:hAnsi="Times New Roman" w:cs="Times New Roman"/>
        </w:rPr>
      </w:pPr>
      <w:r w:rsidRPr="00A85C01">
        <w:rPr>
          <w:rStyle w:val="FootnoteReference"/>
          <w:rFonts w:ascii="Times New Roman" w:hAnsi="Times New Roman" w:cs="Times New Roman"/>
        </w:rPr>
        <w:footnoteRef/>
      </w:r>
      <w:r w:rsidRPr="00A85C01">
        <w:rPr>
          <w:rFonts w:ascii="Times New Roman" w:hAnsi="Times New Roman" w:cs="Times New Roman"/>
        </w:rPr>
        <w:t xml:space="preserve"> </w:t>
      </w:r>
      <w:r w:rsidRPr="00A85C01">
        <w:rPr>
          <w:rFonts w:ascii="Times New Roman" w:hAnsi="Times New Roman" w:cs="Times New Roman"/>
        </w:rPr>
        <w:fldChar w:fldCharType="begin" w:fldLock="1"/>
      </w:r>
      <w:r w:rsidRPr="00A85C01">
        <w:rPr>
          <w:rFonts w:ascii="Times New Roman" w:hAnsi="Times New Roman" w:cs="Times New Roman"/>
        </w:rPr>
        <w:instrText>ADDIN CSL_CITATION {"citationItems":[{"id":"ITEM-1","itemData":{"DOI":"10.18592/khazanah.v17i1.2884","author":[{"dropping-particle":"","family":"Kholilah","given":"Iis","non-dropping-particle":"","parse-names":false,"suffix":""}],"container-title":"Khazanah Jurnal Studi Islam Dan Humaniora","id":"ITEM-1","issue":"1","issued":{"date-parts":[["2019"]]},"page":"83","title":"Hermeneutics of Nationality Fiqh: Study of Bahtsul Masail of Lirboyo Alumni Association","type":"article-journal","volume":"17"},"uris":["http://www.mendeley.com/documents/?uuid=af69799a-96fd-4575-a814-ce993bf4a27f"]}],"mendeley":{"formattedCitation":"Iis Kholilah, “Hermeneutics of Nationality Fiqh: Study of Bahtsul Masail of Lirboyo Alumni Association,” &lt;i&gt;Khazanah Jurnal Studi Islam Dan Humaniora&lt;/i&gt; 17, no. 1 (2019): 83, https://doi.org/10.18592/khazanah.v17i1.2884.","plainTextFormattedCitation":"Iis Kholilah, “Hermeneutics of Nationality Fiqh: Study of Bahtsul Masail of Lirboyo Alumni Association,” Khazanah Jurnal Studi Islam Dan Humaniora 17, no. 1 (2019): 83, https://doi.org/10.18592/khazanah.v17i1.2884.","previouslyFormattedCitation":"Iis Kholilah, “Hermeneutics of Nationality Fiqh: Study of Bahtsul Masail of Lirboyo Alumni Association,” &lt;i&gt;Khazanah Jurnal Studi Islam Dan Humaniora&lt;/i&gt; 17, no. 1 (2019): 83, https://doi.org/10.18592/khazanah.v17i1.2884."},"properties":{"noteIndex":1},"schema":"https://github.com/citation-style-language/schema/raw/master/csl-citation.json"}</w:instrText>
      </w:r>
      <w:r w:rsidRPr="00A85C01">
        <w:rPr>
          <w:rFonts w:ascii="Times New Roman" w:hAnsi="Times New Roman" w:cs="Times New Roman"/>
        </w:rPr>
        <w:fldChar w:fldCharType="separate"/>
      </w:r>
      <w:r w:rsidRPr="00A85C01">
        <w:rPr>
          <w:rFonts w:ascii="Times New Roman" w:hAnsi="Times New Roman" w:cs="Times New Roman"/>
          <w:noProof/>
        </w:rPr>
        <w:t xml:space="preserve">Iis Kholilah, “Hermeneutics of Nationality Fiqh: Study of Bahtsul Masail of Lirboyo Alumni Association,” </w:t>
      </w:r>
      <w:r w:rsidRPr="00A85C01">
        <w:rPr>
          <w:rFonts w:ascii="Times New Roman" w:hAnsi="Times New Roman" w:cs="Times New Roman"/>
          <w:i/>
          <w:noProof/>
        </w:rPr>
        <w:t>Khazanah Jurnal Studi Islam Dan Humaniora</w:t>
      </w:r>
      <w:r w:rsidRPr="00A85C01">
        <w:rPr>
          <w:rFonts w:ascii="Times New Roman" w:hAnsi="Times New Roman" w:cs="Times New Roman"/>
          <w:noProof/>
        </w:rPr>
        <w:t xml:space="preserve"> 17, no. 1 (2019): 83, https://doi.org/10.18592/khazanah.v17i1.2884.</w:t>
      </w:r>
      <w:r w:rsidRPr="00A85C01">
        <w:rPr>
          <w:rFonts w:ascii="Times New Roman" w:hAnsi="Times New Roman" w:cs="Times New Roman"/>
        </w:rPr>
        <w:fldChar w:fldCharType="end"/>
      </w:r>
    </w:p>
  </w:footnote>
  <w:footnote w:id="2">
    <w:p w:rsidR="00145ACF" w:rsidRPr="00A85C01" w:rsidRDefault="00145ACF" w:rsidP="00A85C01">
      <w:pPr>
        <w:pStyle w:val="FootnoteText"/>
        <w:ind w:firstLine="720"/>
        <w:jc w:val="both"/>
        <w:rPr>
          <w:rFonts w:ascii="Times New Roman" w:hAnsi="Times New Roman" w:cs="Times New Roman"/>
        </w:rPr>
      </w:pPr>
      <w:r w:rsidRPr="00A85C01">
        <w:rPr>
          <w:rStyle w:val="FootnoteReference"/>
          <w:rFonts w:ascii="Times New Roman" w:hAnsi="Times New Roman" w:cs="Times New Roman"/>
        </w:rPr>
        <w:footnoteRef/>
      </w:r>
      <w:r w:rsidRPr="00A85C01">
        <w:rPr>
          <w:rFonts w:ascii="Times New Roman" w:hAnsi="Times New Roman" w:cs="Times New Roman"/>
        </w:rPr>
        <w:t xml:space="preserve"> </w:t>
      </w:r>
      <w:r w:rsidRPr="00A85C01">
        <w:rPr>
          <w:rFonts w:ascii="Times New Roman" w:hAnsi="Times New Roman" w:cs="Times New Roman"/>
        </w:rPr>
        <w:fldChar w:fldCharType="begin" w:fldLock="1"/>
      </w:r>
      <w:r w:rsidRPr="00A85C01">
        <w:rPr>
          <w:rFonts w:ascii="Times New Roman" w:hAnsi="Times New Roman" w:cs="Times New Roman"/>
        </w:rPr>
        <w:instrText>ADDIN CSL_CITATION {"citationItems":[{"id":"ITEM-1","itemData":{"DOI":"10.1093/oso/9780197606575.003.0002","author":[{"dropping-particle":"","family":"Takim","given":"Liyakat","non-dropping-particle":"","parse-names":false,"suffix":""}],"id":"ITEM-1","issued":{"date-parts":[["2021"]]},"page":"9-56","title":"The Concept of an Islamic Reformation","type":"article-journal"},"uris":["http://www.mendeley.com/documents/?uuid=c890c707-62cb-40b8-abd0-7cd24c4b6fb3"]}],"mendeley":{"formattedCitation":"Liyakat Takim, “The Concept of an Islamic Reformation,” 2021, 9–56, https://doi.org/10.1093/oso/9780197606575.003.0002.","plainTextFormattedCitation":"Liyakat Takim, “The Concept of an Islamic Reformation,” 2021, 9–56, https://doi.org/10.1093/oso/9780197606575.003.0002.","previouslyFormattedCitation":"Liyakat Takim, “The Concept of an Islamic Reformation,” 2021, 9–56, https://doi.org/10.1093/oso/9780197606575.003.0002."},"properties":{"noteIndex":2},"schema":"https://github.com/citation-style-language/schema/raw/master/csl-citation.json"}</w:instrText>
      </w:r>
      <w:r w:rsidRPr="00A85C01">
        <w:rPr>
          <w:rFonts w:ascii="Times New Roman" w:hAnsi="Times New Roman" w:cs="Times New Roman"/>
        </w:rPr>
        <w:fldChar w:fldCharType="separate"/>
      </w:r>
      <w:r w:rsidRPr="00A85C01">
        <w:rPr>
          <w:rFonts w:ascii="Times New Roman" w:hAnsi="Times New Roman" w:cs="Times New Roman"/>
          <w:noProof/>
        </w:rPr>
        <w:t>Liyakat Takim, “The Concept of an Islamic Reformation,” 2021, 9–56, https://doi.org/10.1093/oso/9780197606575.003.0002.</w:t>
      </w:r>
      <w:r w:rsidRPr="00A85C01">
        <w:rPr>
          <w:rFonts w:ascii="Times New Roman" w:hAnsi="Times New Roman" w:cs="Times New Roman"/>
        </w:rPr>
        <w:fldChar w:fldCharType="end"/>
      </w:r>
    </w:p>
  </w:footnote>
  <w:footnote w:id="3">
    <w:p w:rsidR="00145ACF" w:rsidRPr="00A85C01" w:rsidRDefault="00145ACF" w:rsidP="00A85C01">
      <w:pPr>
        <w:pStyle w:val="FootnoteText"/>
        <w:ind w:firstLine="720"/>
        <w:jc w:val="both"/>
        <w:rPr>
          <w:rFonts w:ascii="Times New Roman" w:hAnsi="Times New Roman" w:cs="Times New Roman"/>
        </w:rPr>
      </w:pPr>
      <w:r w:rsidRPr="00A85C01">
        <w:rPr>
          <w:rStyle w:val="FootnoteReference"/>
          <w:rFonts w:ascii="Times New Roman" w:hAnsi="Times New Roman" w:cs="Times New Roman"/>
        </w:rPr>
        <w:footnoteRef/>
      </w:r>
      <w:r w:rsidRPr="00A85C01">
        <w:rPr>
          <w:rFonts w:ascii="Times New Roman" w:hAnsi="Times New Roman" w:cs="Times New Roman"/>
        </w:rPr>
        <w:t xml:space="preserve"> </w:t>
      </w:r>
      <w:r w:rsidRPr="00A85C01">
        <w:rPr>
          <w:rFonts w:ascii="Times New Roman" w:hAnsi="Times New Roman" w:cs="Times New Roman"/>
        </w:rPr>
        <w:fldChar w:fldCharType="begin" w:fldLock="1"/>
      </w:r>
      <w:r w:rsidRPr="00A85C01">
        <w:rPr>
          <w:rFonts w:ascii="Times New Roman" w:hAnsi="Times New Roman" w:cs="Times New Roman"/>
        </w:rPr>
        <w:instrText>ADDIN CSL_CITATION {"citationItems":[{"id":"ITEM-1","itemData":{"DOI":"10.2991/icqhs-17.2018.24","author":[{"dropping-particle":"","family":"Riyani","given":"Irma","non-dropping-particle":"","parse-names":false,"suffix":""},{"dropping-particle":"","family":"Ismail","given":"Ecep","non-dropping-particle":"","parse-names":false,"suffix":""}],"id":"ITEM-1","issued":{"date-parts":[["2018"]]},"title":"qGOD IS BEYOND SEX/GENDERq MUSLIM FEMINIST HERMENEUTICAL METHOD TO THE QUR'An","type":"article-journal"},"uris":["http://www.mendeley.com/documents/?uuid=4cdb19e2-b9b2-4b24-85cd-9e3b5b4982e4"]}],"mendeley":{"formattedCitation":"Irma Riyani and Ecep Ismail, “QGOD IS BEYOND SEX/GENDERq MUSLIM FEMINIST HERMENEUTICAL METHOD TO THE QUR’An,” 2018, https://doi.org/10.2991/icqhs-17.2018.24.","plainTextFormattedCitation":"Irma Riyani and Ecep Ismail, “QGOD IS BEYOND SEX/GENDERq MUSLIM FEMINIST HERMENEUTICAL METHOD TO THE QUR’An,” 2018, https://doi.org/10.2991/icqhs-17.2018.24.","previouslyFormattedCitation":"Irma Riyani and Ecep Ismail, “QGOD IS BEYOND SEX/GENDERq MUSLIM FEMINIST HERMENEUTICAL METHOD TO THE QUR’An,” 2018, https://doi.org/10.2991/icqhs-17.2018.24."},"properties":{"noteIndex":3},"schema":"https://github.com/citation-style-language/schema/raw/master/csl-citation.json"}</w:instrText>
      </w:r>
      <w:r w:rsidRPr="00A85C01">
        <w:rPr>
          <w:rFonts w:ascii="Times New Roman" w:hAnsi="Times New Roman" w:cs="Times New Roman"/>
        </w:rPr>
        <w:fldChar w:fldCharType="separate"/>
      </w:r>
      <w:r w:rsidRPr="00A85C01">
        <w:rPr>
          <w:rFonts w:ascii="Times New Roman" w:hAnsi="Times New Roman" w:cs="Times New Roman"/>
          <w:noProof/>
        </w:rPr>
        <w:t>Irma Riyani and Ecep Ismail, “QGOD IS BEYOND SEX/GENDERq MUSLIM FEMINIST HERMENEUTICAL METHOD TO THE QUR’An,” 2018, https://doi.org/10.2991/icqhs-17.2018.24.</w:t>
      </w:r>
      <w:r w:rsidRPr="00A85C01">
        <w:rPr>
          <w:rFonts w:ascii="Times New Roman" w:hAnsi="Times New Roman" w:cs="Times New Roman"/>
        </w:rPr>
        <w:fldChar w:fldCharType="end"/>
      </w:r>
    </w:p>
  </w:footnote>
  <w:footnote w:id="4">
    <w:p w:rsidR="00145ACF" w:rsidRPr="00A85C01" w:rsidRDefault="00145ACF" w:rsidP="00A85C01">
      <w:pPr>
        <w:pStyle w:val="FootnoteText"/>
        <w:ind w:firstLine="720"/>
        <w:jc w:val="both"/>
        <w:rPr>
          <w:rFonts w:ascii="Times New Roman" w:hAnsi="Times New Roman" w:cs="Times New Roman"/>
        </w:rPr>
      </w:pPr>
      <w:r w:rsidRPr="00A85C01">
        <w:rPr>
          <w:rStyle w:val="FootnoteReference"/>
          <w:rFonts w:ascii="Times New Roman" w:hAnsi="Times New Roman" w:cs="Times New Roman"/>
        </w:rPr>
        <w:footnoteRef/>
      </w:r>
      <w:r w:rsidRPr="00A85C01">
        <w:rPr>
          <w:rFonts w:ascii="Times New Roman" w:hAnsi="Times New Roman" w:cs="Times New Roman"/>
        </w:rPr>
        <w:t xml:space="preserve"> </w:t>
      </w:r>
      <w:r w:rsidRPr="00A85C01">
        <w:rPr>
          <w:rFonts w:ascii="Times New Roman" w:hAnsi="Times New Roman" w:cs="Times New Roman"/>
        </w:rPr>
        <w:fldChar w:fldCharType="begin" w:fldLock="1"/>
      </w:r>
      <w:r w:rsidRPr="00A85C01">
        <w:rPr>
          <w:rFonts w:ascii="Times New Roman" w:hAnsi="Times New Roman" w:cs="Times New Roman"/>
        </w:rPr>
        <w:instrText>ADDIN CSL_CITATION {"citationItems":[{"id":"ITEM-1","itemData":{"DOI":"10.3390/rel12070497","author":[{"dropping-particle":"","family":"Wadud","given":"Amina","non-dropping-particle":"","parse-names":false,"suffix":""}],"container-title":"Religions","id":"ITEM-1","issue":"7","issued":{"date-parts":[["2021"]]},"page":"497","title":"Reflections on Islamic Feminist Exegesis of the Qur’An","type":"article-journal","volume":"12"},"uris":["http://www.mendeley.com/documents/?uuid=9000ab19-3084-4afe-87bc-e269fb504771"]}],"mendeley":{"formattedCitation":"Amina Wadud, “Reflections on Islamic Feminist Exegesis of the Qur’An,” &lt;i&gt;Religions&lt;/i&gt; 12, no. 7 (2021): 497, https://doi.org/10.3390/rel12070497.","plainTextFormattedCitation":"Amina Wadud, “Reflections on Islamic Feminist Exegesis of the Qur’An,” Religions 12, no. 7 (2021): 497, https://doi.org/10.3390/rel12070497.","previouslyFormattedCitation":"Amina Wadud, “Reflections on Islamic Feminist Exegesis of the Qur’An,” &lt;i&gt;Religions&lt;/i&gt; 12, no. 7 (2021): 497, https://doi.org/10.3390/rel12070497."},"properties":{"noteIndex":4},"schema":"https://github.com/citation-style-language/schema/raw/master/csl-citation.json"}</w:instrText>
      </w:r>
      <w:r w:rsidRPr="00A85C01">
        <w:rPr>
          <w:rFonts w:ascii="Times New Roman" w:hAnsi="Times New Roman" w:cs="Times New Roman"/>
        </w:rPr>
        <w:fldChar w:fldCharType="separate"/>
      </w:r>
      <w:r w:rsidRPr="00A85C01">
        <w:rPr>
          <w:rFonts w:ascii="Times New Roman" w:hAnsi="Times New Roman" w:cs="Times New Roman"/>
          <w:noProof/>
        </w:rPr>
        <w:t xml:space="preserve">Amina Wadud, “Reflections on Islamic Feminist Exegesis of the Qur’An,” </w:t>
      </w:r>
      <w:r w:rsidRPr="00A85C01">
        <w:rPr>
          <w:rFonts w:ascii="Times New Roman" w:hAnsi="Times New Roman" w:cs="Times New Roman"/>
          <w:i/>
          <w:noProof/>
        </w:rPr>
        <w:t>Religions</w:t>
      </w:r>
      <w:r w:rsidRPr="00A85C01">
        <w:rPr>
          <w:rFonts w:ascii="Times New Roman" w:hAnsi="Times New Roman" w:cs="Times New Roman"/>
          <w:noProof/>
        </w:rPr>
        <w:t xml:space="preserve"> 12, no. 7 (2021): 497, https://doi.org/10.3390/rel12070497.</w:t>
      </w:r>
      <w:r w:rsidRPr="00A85C01">
        <w:rPr>
          <w:rFonts w:ascii="Times New Roman" w:hAnsi="Times New Roman" w:cs="Times New Roman"/>
        </w:rPr>
        <w:fldChar w:fldCharType="end"/>
      </w:r>
    </w:p>
  </w:footnote>
  <w:footnote w:id="5">
    <w:p w:rsidR="00145ACF" w:rsidRPr="00A85C01" w:rsidRDefault="00145ACF" w:rsidP="00A85C01">
      <w:pPr>
        <w:pStyle w:val="FootnoteText"/>
        <w:ind w:firstLine="720"/>
        <w:jc w:val="both"/>
        <w:rPr>
          <w:rFonts w:ascii="Times New Roman" w:hAnsi="Times New Roman" w:cs="Times New Roman"/>
        </w:rPr>
      </w:pPr>
      <w:r w:rsidRPr="00A85C01">
        <w:rPr>
          <w:rStyle w:val="FootnoteReference"/>
          <w:rFonts w:ascii="Times New Roman" w:hAnsi="Times New Roman" w:cs="Times New Roman"/>
        </w:rPr>
        <w:footnoteRef/>
      </w:r>
      <w:r w:rsidRPr="00A85C01">
        <w:rPr>
          <w:rFonts w:ascii="Times New Roman" w:hAnsi="Times New Roman" w:cs="Times New Roman"/>
        </w:rPr>
        <w:t xml:space="preserve"> </w:t>
      </w:r>
      <w:r w:rsidRPr="00A85C01">
        <w:rPr>
          <w:rFonts w:ascii="Times New Roman" w:hAnsi="Times New Roman" w:cs="Times New Roman"/>
        </w:rPr>
        <w:fldChar w:fldCharType="begin" w:fldLock="1"/>
      </w:r>
      <w:r w:rsidRPr="00A85C01">
        <w:rPr>
          <w:rFonts w:ascii="Times New Roman" w:hAnsi="Times New Roman" w:cs="Times New Roman"/>
        </w:rPr>
        <w:instrText>ADDIN CSL_CITATION {"citationItems":[{"id":"ITEM-1","itemData":{"DOI":"10.3390/rel13030234","author":[{"dropping-particle":"","family":"Peta","given":"Ines","non-dropping-particle":"","parse-names":false,"suffix":""}],"container-title":"Religions","id":"ITEM-1","issue":"3","issued":{"date-parts":[["2022"]]},"page":"234","title":"Aḥmad Amīn’s Rationalist Approach to the Qur’ān and Sunnah","type":"article-journal","volume":"13"},"uris":["http://www.mendeley.com/documents/?uuid=2bac2f62-d7ed-4e3d-ba3a-3ca4e47c06a4"]}],"mendeley":{"formattedCitation":"Ines Peta, “Aḥmad Amīn’s Rationalist Approach to the Qur’ān and Sunnah,” &lt;i&gt;Religions&lt;/i&gt; 13, no. 3 (2022): 234, https://doi.org/10.3390/rel13030234.","plainTextFormattedCitation":"Ines Peta, “Aḥmad Amīn’s Rationalist Approach to the Qur’ān and Sunnah,” Religions 13, no. 3 (2022): 234, https://doi.org/10.3390/rel13030234.","previouslyFormattedCitation":"Ines Peta, “Aḥmad Amīn’s Rationalist Approach to the Qur’ān and Sunnah,” &lt;i&gt;Religions&lt;/i&gt; 13, no. 3 (2022): 234, https://doi.org/10.3390/rel13030234."},"properties":{"noteIndex":5},"schema":"https://github.com/citation-style-language/schema/raw/master/csl-citation.json"}</w:instrText>
      </w:r>
      <w:r w:rsidRPr="00A85C01">
        <w:rPr>
          <w:rFonts w:ascii="Times New Roman" w:hAnsi="Times New Roman" w:cs="Times New Roman"/>
        </w:rPr>
        <w:fldChar w:fldCharType="separate"/>
      </w:r>
      <w:r w:rsidRPr="00A85C01">
        <w:rPr>
          <w:rFonts w:ascii="Times New Roman" w:hAnsi="Times New Roman" w:cs="Times New Roman"/>
          <w:noProof/>
        </w:rPr>
        <w:t xml:space="preserve">Ines Peta, “Aḥmad Amīn’s Rationalist Approach to the Qur’ān and Sunnah,” </w:t>
      </w:r>
      <w:r w:rsidRPr="00A85C01">
        <w:rPr>
          <w:rFonts w:ascii="Times New Roman" w:hAnsi="Times New Roman" w:cs="Times New Roman"/>
          <w:i/>
          <w:noProof/>
        </w:rPr>
        <w:t>Religions</w:t>
      </w:r>
      <w:r w:rsidRPr="00A85C01">
        <w:rPr>
          <w:rFonts w:ascii="Times New Roman" w:hAnsi="Times New Roman" w:cs="Times New Roman"/>
          <w:noProof/>
        </w:rPr>
        <w:t xml:space="preserve"> 13, no. 3 (2022): 234, https://doi.org/10.3390/rel13030234.</w:t>
      </w:r>
      <w:r w:rsidRPr="00A85C01">
        <w:rPr>
          <w:rFonts w:ascii="Times New Roman" w:hAnsi="Times New Roman" w:cs="Times New Roman"/>
        </w:rPr>
        <w:fldChar w:fldCharType="end"/>
      </w:r>
    </w:p>
  </w:footnote>
  <w:footnote w:id="6">
    <w:p w:rsidR="00145ACF" w:rsidRPr="00A85C01" w:rsidRDefault="00145ACF" w:rsidP="00A85C01">
      <w:pPr>
        <w:pStyle w:val="FootnoteText"/>
        <w:ind w:firstLine="720"/>
        <w:jc w:val="both"/>
        <w:rPr>
          <w:rFonts w:ascii="Times New Roman" w:hAnsi="Times New Roman" w:cs="Times New Roman"/>
        </w:rPr>
      </w:pPr>
      <w:r w:rsidRPr="00A85C01">
        <w:rPr>
          <w:rStyle w:val="FootnoteReference"/>
          <w:rFonts w:ascii="Times New Roman" w:hAnsi="Times New Roman" w:cs="Times New Roman"/>
        </w:rPr>
        <w:footnoteRef/>
      </w:r>
      <w:r w:rsidRPr="00A85C01">
        <w:rPr>
          <w:rFonts w:ascii="Times New Roman" w:hAnsi="Times New Roman" w:cs="Times New Roman"/>
        </w:rPr>
        <w:t xml:space="preserve"> </w:t>
      </w:r>
      <w:r w:rsidRPr="00A85C01">
        <w:rPr>
          <w:rFonts w:ascii="Times New Roman" w:hAnsi="Times New Roman" w:cs="Times New Roman"/>
        </w:rPr>
        <w:fldChar w:fldCharType="begin" w:fldLock="1"/>
      </w:r>
      <w:r w:rsidRPr="00A85C01">
        <w:rPr>
          <w:rFonts w:ascii="Times New Roman" w:hAnsi="Times New Roman" w:cs="Times New Roman"/>
        </w:rPr>
        <w:instrText>ADDIN CSL_CITATION {"citationItems":[{"id":"ITEM-1","itemData":{"DOI":"10.18592/khazanah.v17i1.2884","author":[{"dropping-particle":"","family":"Kholilah","given":"Iis","non-dropping-particle":"","parse-names":false,"suffix":""}],"container-title":"Khazanah Jurnal Studi Islam Dan Humaniora","id":"ITEM-1","issue":"1","issued":{"date-parts":[["2019"]]},"page":"83","title":"Hermeneutics of Nationality Fiqh: Study of Bahtsul Masail of Lirboyo Alumni Association","type":"article-journal","volume":"17"},"uris":["http://www.mendeley.com/documents/?uuid=af69799a-96fd-4575-a814-ce993bf4a27f"]}],"mendeley":{"formattedCitation":"Kholilah, “Hermeneutics of Nationality Fiqh: Study of Bahtsul Masail of Lirboyo Alumni Association.”","plainTextFormattedCitation":"Kholilah, “Hermeneutics of Nationality Fiqh: Study of Bahtsul Masail of Lirboyo Alumni Association.”","previouslyFormattedCitation":"Kholilah, “Hermeneutics of Nationality Fiqh: Study of Bahtsul Masail of Lirboyo Alumni Association.”"},"properties":{"noteIndex":6},"schema":"https://github.com/citation-style-language/schema/raw/master/csl-citation.json"}</w:instrText>
      </w:r>
      <w:r w:rsidRPr="00A85C01">
        <w:rPr>
          <w:rFonts w:ascii="Times New Roman" w:hAnsi="Times New Roman" w:cs="Times New Roman"/>
        </w:rPr>
        <w:fldChar w:fldCharType="separate"/>
      </w:r>
      <w:r w:rsidRPr="00A85C01">
        <w:rPr>
          <w:rFonts w:ascii="Times New Roman" w:hAnsi="Times New Roman" w:cs="Times New Roman"/>
          <w:noProof/>
        </w:rPr>
        <w:t>Kholilah, “Hermeneutics of Nationality Fiqh: Study of Bahtsul Masail of Lirboyo Alumni Association.”</w:t>
      </w:r>
      <w:r w:rsidRPr="00A85C01">
        <w:rPr>
          <w:rFonts w:ascii="Times New Roman" w:hAnsi="Times New Roman" w:cs="Times New Roman"/>
        </w:rPr>
        <w:fldChar w:fldCharType="end"/>
      </w:r>
    </w:p>
  </w:footnote>
  <w:footnote w:id="7">
    <w:p w:rsidR="00145ACF" w:rsidRPr="00A85C01" w:rsidRDefault="00145ACF" w:rsidP="00A85C01">
      <w:pPr>
        <w:pStyle w:val="FootnoteText"/>
        <w:ind w:firstLine="720"/>
        <w:jc w:val="both"/>
        <w:rPr>
          <w:rFonts w:ascii="Times New Roman" w:hAnsi="Times New Roman" w:cs="Times New Roman"/>
        </w:rPr>
      </w:pPr>
      <w:r w:rsidRPr="00A85C01">
        <w:rPr>
          <w:rStyle w:val="FootnoteReference"/>
          <w:rFonts w:ascii="Times New Roman" w:hAnsi="Times New Roman" w:cs="Times New Roman"/>
        </w:rPr>
        <w:footnoteRef/>
      </w:r>
      <w:r w:rsidRPr="00A85C01">
        <w:rPr>
          <w:rFonts w:ascii="Times New Roman" w:hAnsi="Times New Roman" w:cs="Times New Roman"/>
        </w:rPr>
        <w:t xml:space="preserve"> </w:t>
      </w:r>
      <w:r w:rsidRPr="00A85C01">
        <w:rPr>
          <w:rFonts w:ascii="Times New Roman" w:hAnsi="Times New Roman" w:cs="Times New Roman"/>
        </w:rPr>
        <w:fldChar w:fldCharType="begin" w:fldLock="1"/>
      </w:r>
      <w:r w:rsidRPr="00A85C01">
        <w:rPr>
          <w:rFonts w:ascii="Times New Roman" w:hAnsi="Times New Roman" w:cs="Times New Roman"/>
        </w:rPr>
        <w:instrText>ADDIN CSL_CITATION {"citationItems":[{"id":"ITEM-1","itemData":{"DOI":"10.5539/ibr.v12n7p83","author":[{"dropping-particle":"","family":"Gul","given":"Waseem A","non-dropping-particle":"","parse-names":false,"suffix":""}],"container-title":"International Business Research","id":"ITEM-1","issue":"7","issued":{"date-parts":[["2019"]]},"page":"83","title":"Strategy: Can a Research Methodology Be Proposed From Islamic Sources of Knowledge?","type":"article-journal","volume":"12"},"uris":["http://www.mendeley.com/documents/?uuid=ffe11ee5-822a-407a-9dd6-cef0e0ed1599"]}],"mendeley":{"formattedCitation":"Waseem A Gul, “Strategy: Can a Research Methodology Be Proposed From Islamic Sources of Knowledge?,” &lt;i&gt;International Business Research&lt;/i&gt; 12, no. 7 (2019): 83, https://doi.org/10.5539/ibr.v12n7p83.","plainTextFormattedCitation":"Waseem A Gul, “Strategy: Can a Research Methodology Be Proposed From Islamic Sources of Knowledge?,” International Business Research 12, no. 7 (2019): 83, https://doi.org/10.5539/ibr.v12n7p83.","previouslyFormattedCitation":"Waseem A Gul, “Strategy: Can a Research Methodology Be Proposed From Islamic Sources of Knowledge?,” &lt;i&gt;International Business Research&lt;/i&gt; 12, no. 7 (2019): 83, https://doi.org/10.5539/ibr.v12n7p83."},"properties":{"noteIndex":7},"schema":"https://github.com/citation-style-language/schema/raw/master/csl-citation.json"}</w:instrText>
      </w:r>
      <w:r w:rsidRPr="00A85C01">
        <w:rPr>
          <w:rFonts w:ascii="Times New Roman" w:hAnsi="Times New Roman" w:cs="Times New Roman"/>
        </w:rPr>
        <w:fldChar w:fldCharType="separate"/>
      </w:r>
      <w:r w:rsidRPr="00A85C01">
        <w:rPr>
          <w:rFonts w:ascii="Times New Roman" w:hAnsi="Times New Roman" w:cs="Times New Roman"/>
          <w:noProof/>
        </w:rPr>
        <w:t xml:space="preserve">Waseem A Gul, “Strategy: Can a Research Methodology Be Proposed From Islamic Sources of Knowledge?,” </w:t>
      </w:r>
      <w:r w:rsidRPr="00A85C01">
        <w:rPr>
          <w:rFonts w:ascii="Times New Roman" w:hAnsi="Times New Roman" w:cs="Times New Roman"/>
          <w:i/>
          <w:noProof/>
        </w:rPr>
        <w:t>International Business Research</w:t>
      </w:r>
      <w:r w:rsidRPr="00A85C01">
        <w:rPr>
          <w:rFonts w:ascii="Times New Roman" w:hAnsi="Times New Roman" w:cs="Times New Roman"/>
          <w:noProof/>
        </w:rPr>
        <w:t xml:space="preserve"> 12, no. 7 (2019): 83, https://doi.org/10.5539/ibr.v12n7p83.</w:t>
      </w:r>
      <w:r w:rsidRPr="00A85C01">
        <w:rPr>
          <w:rFonts w:ascii="Times New Roman" w:hAnsi="Times New Roman" w:cs="Times New Roman"/>
        </w:rPr>
        <w:fldChar w:fldCharType="end"/>
      </w:r>
    </w:p>
  </w:footnote>
  <w:footnote w:id="8">
    <w:p w:rsidR="00145ACF" w:rsidRPr="00A85C01" w:rsidRDefault="00145ACF" w:rsidP="00A85C01">
      <w:pPr>
        <w:pStyle w:val="FootnoteText"/>
        <w:ind w:firstLine="720"/>
        <w:jc w:val="both"/>
        <w:rPr>
          <w:rFonts w:ascii="Times New Roman" w:hAnsi="Times New Roman" w:cs="Times New Roman"/>
        </w:rPr>
      </w:pPr>
      <w:r w:rsidRPr="00A85C01">
        <w:rPr>
          <w:rStyle w:val="FootnoteReference"/>
          <w:rFonts w:ascii="Times New Roman" w:hAnsi="Times New Roman" w:cs="Times New Roman"/>
        </w:rPr>
        <w:footnoteRef/>
      </w:r>
      <w:r w:rsidRPr="00A85C01">
        <w:rPr>
          <w:rFonts w:ascii="Times New Roman" w:hAnsi="Times New Roman" w:cs="Times New Roman"/>
        </w:rPr>
        <w:t xml:space="preserve"> </w:t>
      </w:r>
      <w:r w:rsidRPr="00A85C01">
        <w:rPr>
          <w:rFonts w:ascii="Times New Roman" w:hAnsi="Times New Roman" w:cs="Times New Roman"/>
        </w:rPr>
        <w:fldChar w:fldCharType="begin" w:fldLock="1"/>
      </w:r>
      <w:r w:rsidRPr="00A85C01">
        <w:rPr>
          <w:rFonts w:ascii="Times New Roman" w:hAnsi="Times New Roman" w:cs="Times New Roman"/>
        </w:rPr>
        <w:instrText>ADDIN CSL_CITATION {"citationItems":[{"id":"ITEM-1","itemData":{"DOI":"10.2991/icqhs-17.2018.24","author":[{"dropping-particle":"","family":"Riyani","given":"Irma","non-dropping-particle":"","parse-names":false,"suffix":""},{"dropping-particle":"","family":"Ismail","given":"Ecep","non-dropping-particle":"","parse-names":false,"suffix":""}],"id":"ITEM-1","issued":{"date-parts":[["2018"]]},"title":"qGOD IS BEYOND SEX/GENDERq MUSLIM FEMINIST HERMENEUTICAL METHOD TO THE QUR'An","type":"article-journal"},"uris":["http://www.mendeley.com/documents/?uuid=4cdb19e2-b9b2-4b24-85cd-9e3b5b4982e4"]}],"mendeley":{"formattedCitation":"Riyani and Ismail, “QGOD IS BEYOND SEX/GENDERq MUSLIM FEMINIST HERMENEUTICAL METHOD TO THE QUR’An.”","plainTextFormattedCitation":"Riyani and Ismail, “QGOD IS BEYOND SEX/GENDERq MUSLIM FEMINIST HERMENEUTICAL METHOD TO THE QUR’An.”","previouslyFormattedCitation":"Riyani and Ismail, “QGOD IS BEYOND SEX/GENDERq MUSLIM FEMINIST HERMENEUTICAL METHOD TO THE QUR’An.”"},"properties":{"noteIndex":8},"schema":"https://github.com/citation-style-language/schema/raw/master/csl-citation.json"}</w:instrText>
      </w:r>
      <w:r w:rsidRPr="00A85C01">
        <w:rPr>
          <w:rFonts w:ascii="Times New Roman" w:hAnsi="Times New Roman" w:cs="Times New Roman"/>
        </w:rPr>
        <w:fldChar w:fldCharType="separate"/>
      </w:r>
      <w:r w:rsidRPr="00A85C01">
        <w:rPr>
          <w:rFonts w:ascii="Times New Roman" w:hAnsi="Times New Roman" w:cs="Times New Roman"/>
          <w:noProof/>
        </w:rPr>
        <w:t>Riyani and Ismail, “QGOD IS BEYOND SEX/GENDERq MUSLIM FEMINIST HERMENEUTICAL METHOD TO THE QUR’An.”</w:t>
      </w:r>
      <w:r w:rsidRPr="00A85C01">
        <w:rPr>
          <w:rFonts w:ascii="Times New Roman" w:hAnsi="Times New Roman" w:cs="Times New Roman"/>
        </w:rPr>
        <w:fldChar w:fldCharType="end"/>
      </w:r>
    </w:p>
  </w:footnote>
  <w:footnote w:id="9">
    <w:p w:rsidR="00145ACF" w:rsidRPr="00A85C01" w:rsidRDefault="00145ACF" w:rsidP="00A85C01">
      <w:pPr>
        <w:pStyle w:val="FootnoteText"/>
        <w:ind w:firstLine="720"/>
        <w:jc w:val="both"/>
        <w:rPr>
          <w:rFonts w:ascii="Times New Roman" w:hAnsi="Times New Roman" w:cs="Times New Roman"/>
        </w:rPr>
      </w:pPr>
      <w:r w:rsidRPr="00A85C01">
        <w:rPr>
          <w:rStyle w:val="FootnoteReference"/>
          <w:rFonts w:ascii="Times New Roman" w:hAnsi="Times New Roman" w:cs="Times New Roman"/>
        </w:rPr>
        <w:footnoteRef/>
      </w:r>
      <w:r w:rsidRPr="00A85C01">
        <w:rPr>
          <w:rFonts w:ascii="Times New Roman" w:hAnsi="Times New Roman" w:cs="Times New Roman"/>
        </w:rPr>
        <w:t xml:space="preserve"> </w:t>
      </w:r>
      <w:r w:rsidRPr="00A85C01">
        <w:rPr>
          <w:rFonts w:ascii="Times New Roman" w:hAnsi="Times New Roman" w:cs="Times New Roman"/>
        </w:rPr>
        <w:fldChar w:fldCharType="begin" w:fldLock="1"/>
      </w:r>
      <w:r w:rsidRPr="00A85C01">
        <w:rPr>
          <w:rFonts w:ascii="Times New Roman" w:hAnsi="Times New Roman" w:cs="Times New Roman"/>
        </w:rPr>
        <w:instrText>ADDIN CSL_CITATION {"citationItems":[{"id":"ITEM-1","itemData":{"DOI":"10.3390/rel12070497","author":[{"dropping-particle":"","family":"Wadud","given":"Amina","non-dropping-particle":"","parse-names":false,"suffix":""}],"container-title":"Religions","id":"ITEM-1","issue":"7","issued":{"date-parts":[["2021"]]},"page":"497","title":"Reflections on Islamic Feminist Exegesis of the Qur’An","type":"article-journal","volume":"12"},"uris":["http://www.mendeley.com/documents/?uuid=9000ab19-3084-4afe-87bc-e269fb504771"]}],"mendeley":{"formattedCitation":"Wadud, “Reflections on Islamic Feminist Exegesis of the Qur’An.”","plainTextFormattedCitation":"Wadud, “Reflections on Islamic Feminist Exegesis of the Qur’An.”","previouslyFormattedCitation":"Wadud, “Reflections on Islamic Feminist Exegesis of the Qur’An.”"},"properties":{"noteIndex":9},"schema":"https://github.com/citation-style-language/schema/raw/master/csl-citation.json"}</w:instrText>
      </w:r>
      <w:r w:rsidRPr="00A85C01">
        <w:rPr>
          <w:rFonts w:ascii="Times New Roman" w:hAnsi="Times New Roman" w:cs="Times New Roman"/>
        </w:rPr>
        <w:fldChar w:fldCharType="separate"/>
      </w:r>
      <w:r w:rsidRPr="00A85C01">
        <w:rPr>
          <w:rFonts w:ascii="Times New Roman" w:hAnsi="Times New Roman" w:cs="Times New Roman"/>
          <w:noProof/>
        </w:rPr>
        <w:t>Wadud, “Reflections on Islamic Feminist Exegesis of the Qur’An.”</w:t>
      </w:r>
      <w:r w:rsidRPr="00A85C01">
        <w:rPr>
          <w:rFonts w:ascii="Times New Roman" w:hAnsi="Times New Roman" w:cs="Times New Roman"/>
        </w:rPr>
        <w:fldChar w:fldCharType="end"/>
      </w:r>
    </w:p>
  </w:footnote>
  <w:footnote w:id="10">
    <w:p w:rsidR="00145ACF" w:rsidRPr="00A85C01" w:rsidRDefault="00145ACF" w:rsidP="00A85C01">
      <w:pPr>
        <w:pStyle w:val="FootnoteText"/>
        <w:ind w:firstLine="720"/>
        <w:jc w:val="both"/>
        <w:rPr>
          <w:rFonts w:ascii="Times New Roman" w:hAnsi="Times New Roman" w:cs="Times New Roman"/>
        </w:rPr>
      </w:pPr>
      <w:r w:rsidRPr="00A85C01">
        <w:rPr>
          <w:rStyle w:val="FootnoteReference"/>
          <w:rFonts w:ascii="Times New Roman" w:hAnsi="Times New Roman" w:cs="Times New Roman"/>
        </w:rPr>
        <w:footnoteRef/>
      </w:r>
      <w:r w:rsidRPr="00A85C01">
        <w:rPr>
          <w:rFonts w:ascii="Times New Roman" w:hAnsi="Times New Roman" w:cs="Times New Roman"/>
        </w:rPr>
        <w:t xml:space="preserve"> </w:t>
      </w:r>
      <w:r w:rsidRPr="00A85C01">
        <w:rPr>
          <w:rFonts w:ascii="Times New Roman" w:hAnsi="Times New Roman" w:cs="Times New Roman"/>
        </w:rPr>
        <w:fldChar w:fldCharType="begin" w:fldLock="1"/>
      </w:r>
      <w:r w:rsidRPr="00A85C01">
        <w:rPr>
          <w:rFonts w:ascii="Times New Roman" w:hAnsi="Times New Roman" w:cs="Times New Roman"/>
        </w:rPr>
        <w:instrText>ADDIN CSL_CITATION {"citationItems":[{"id":"ITEM-1","itemData":{"DOI":"10.20511/pyr2021.v9nspe2.966","author":[{"dropping-particle":"","family":"Ghazipour","given":"Saeed","non-dropping-particle":"","parse-names":false,"suffix":""},{"dropping-particle":"","family":"Shirazi","given":"Mehdi","non-dropping-particle":"","parse-names":false,"suffix":""},{"dropping-particle":"","family":"Mirsafi","given":"Seyedeh F H","non-dropping-particle":"","parse-names":false,"suffix":""}],"container-title":"Propósitos Y Representaciones","id":"ITEM-1","issue":"SPE2","issued":{"date-parts":[["2021"]]},"title":"The Necessity of Redefining and Presenting a New Perception on the Comprehensive Interpretation of the Holy Quran","type":"article-journal","volume":"9"},"uris":["http://www.mendeley.com/documents/?uuid=aaa4a678-a90e-410e-bba7-2247ce0bc8b0"]}],"mendeley":{"formattedCitation":"Saeed Ghazipour, Mehdi Shirazi, and Seyedeh F H Mirsafi, “The Necessity of Redefining and Presenting a New Perception on the Comprehensive Interpretation of the Holy Quran,” &lt;i&gt;Propósitos Y Representaciones&lt;/i&gt; 9, no. SPE2 (2021), https://doi.org/10.20511/pyr2021.v9nspe2.966.","plainTextFormattedCitation":"Saeed Ghazipour, Mehdi Shirazi, and Seyedeh F H Mirsafi, “The Necessity of Redefining and Presenting a New Perception on the Comprehensive Interpretation of the Holy Quran,” Propósitos Y Representaciones 9, no. SPE2 (2021), https://doi.org/10.20511/pyr2021.v9nspe2.966.","previouslyFormattedCitation":"Saeed Ghazipour, Mehdi Shirazi, and Seyedeh F H Mirsafi, “The Necessity of Redefining and Presenting a New Perception on the Comprehensive Interpretation of the Holy Quran,” &lt;i&gt;Propósitos Y Representaciones&lt;/i&gt; 9, no. SPE2 (2021), https://doi.org/10.20511/pyr2021.v9nspe2.966."},"properties":{"noteIndex":10},"schema":"https://github.com/citation-style-language/schema/raw/master/csl-citation.json"}</w:instrText>
      </w:r>
      <w:r w:rsidRPr="00A85C01">
        <w:rPr>
          <w:rFonts w:ascii="Times New Roman" w:hAnsi="Times New Roman" w:cs="Times New Roman"/>
        </w:rPr>
        <w:fldChar w:fldCharType="separate"/>
      </w:r>
      <w:r w:rsidRPr="00A85C01">
        <w:rPr>
          <w:rFonts w:ascii="Times New Roman" w:hAnsi="Times New Roman" w:cs="Times New Roman"/>
          <w:noProof/>
        </w:rPr>
        <w:t xml:space="preserve">Saeed Ghazipour, Mehdi Shirazi, and Seyedeh F H Mirsafi, “The Necessity of Redefining and Presenting a New Perception on the Comprehensive Interpretation of the Holy Quran,” </w:t>
      </w:r>
      <w:r w:rsidRPr="00A85C01">
        <w:rPr>
          <w:rFonts w:ascii="Times New Roman" w:hAnsi="Times New Roman" w:cs="Times New Roman"/>
          <w:i/>
          <w:noProof/>
        </w:rPr>
        <w:t>Propósitos Y Representaciones</w:t>
      </w:r>
      <w:r w:rsidRPr="00A85C01">
        <w:rPr>
          <w:rFonts w:ascii="Times New Roman" w:hAnsi="Times New Roman" w:cs="Times New Roman"/>
          <w:noProof/>
        </w:rPr>
        <w:t xml:space="preserve"> 9, no. SPE2 (2021), https://doi.org/10.20511/pyr2021.v9nspe2.966.</w:t>
      </w:r>
      <w:r w:rsidRPr="00A85C01">
        <w:rPr>
          <w:rFonts w:ascii="Times New Roman" w:hAnsi="Times New Roman" w:cs="Times New Roman"/>
        </w:rPr>
        <w:fldChar w:fldCharType="end"/>
      </w:r>
    </w:p>
  </w:footnote>
  <w:footnote w:id="11">
    <w:p w:rsidR="00145ACF" w:rsidRPr="00A85C01" w:rsidRDefault="00145ACF" w:rsidP="00A85C01">
      <w:pPr>
        <w:pStyle w:val="FootnoteText"/>
        <w:ind w:firstLine="720"/>
        <w:jc w:val="both"/>
        <w:rPr>
          <w:rFonts w:ascii="Times New Roman" w:hAnsi="Times New Roman" w:cs="Times New Roman"/>
        </w:rPr>
      </w:pPr>
      <w:r w:rsidRPr="00A85C01">
        <w:rPr>
          <w:rStyle w:val="FootnoteReference"/>
          <w:rFonts w:ascii="Times New Roman" w:hAnsi="Times New Roman" w:cs="Times New Roman"/>
        </w:rPr>
        <w:footnoteRef/>
      </w:r>
      <w:r w:rsidRPr="00A85C01">
        <w:rPr>
          <w:rFonts w:ascii="Times New Roman" w:hAnsi="Times New Roman" w:cs="Times New Roman"/>
        </w:rPr>
        <w:t xml:space="preserve"> </w:t>
      </w:r>
      <w:r w:rsidRPr="00A85C01">
        <w:rPr>
          <w:rFonts w:ascii="Times New Roman" w:hAnsi="Times New Roman" w:cs="Times New Roman"/>
        </w:rPr>
        <w:fldChar w:fldCharType="begin" w:fldLock="1"/>
      </w:r>
      <w:r w:rsidR="004053B4" w:rsidRPr="00A85C01">
        <w:rPr>
          <w:rFonts w:ascii="Times New Roman" w:hAnsi="Times New Roman" w:cs="Times New Roman"/>
        </w:rPr>
        <w:instrText>ADDIN CSL_CITATION {"citationItems":[{"id":"ITEM-1","itemData":{"DOI":"10.3390/rel13030234","author":[{"dropping-particle":"","family":"Peta","given":"Ines","non-dropping-particle":"","parse-names":false,"suffix":""}],"container-title":"Religions","id":"ITEM-1","issue":"3","issued":{"date-parts":[["2022"]]},"page":"234","title":"Aḥmad Amīn’s Rationalist Approach to the Qur’ān and Sunnah","type":"article-journal","volume":"13"},"uris":["http://www.mendeley.com/documents/?uuid=2bac2f62-d7ed-4e3d-ba3a-3ca4e47c06a4"]}],"mendeley":{"formattedCitation":"Peta, “Aḥmad Amīn’s Rationalist Approach to the Qur’ān and Sunnah.”","plainTextFormattedCitation":"Peta, “Aḥmad Amīn’s Rationalist Approach to the Qur’ān and Sunnah.”","previouslyFormattedCitation":"Peta, “Aḥmad Amīn’s Rationalist Approach to the Qur’ān and Sunnah.”"},"properties":{"noteIndex":11},"schema":"https://github.com/citation-style-language/schema/raw/master/csl-citation.json"}</w:instrText>
      </w:r>
      <w:r w:rsidRPr="00A85C01">
        <w:rPr>
          <w:rFonts w:ascii="Times New Roman" w:hAnsi="Times New Roman" w:cs="Times New Roman"/>
        </w:rPr>
        <w:fldChar w:fldCharType="separate"/>
      </w:r>
      <w:r w:rsidRPr="00A85C01">
        <w:rPr>
          <w:rFonts w:ascii="Times New Roman" w:hAnsi="Times New Roman" w:cs="Times New Roman"/>
          <w:noProof/>
        </w:rPr>
        <w:t>Peta, “Aḥmad Amīn’s Rationalist Approach to the Qur’ān and Sunnah.”</w:t>
      </w:r>
      <w:r w:rsidRPr="00A85C01">
        <w:rPr>
          <w:rFonts w:ascii="Times New Roman" w:hAnsi="Times New Roman" w:cs="Times New Roman"/>
        </w:rPr>
        <w:fldChar w:fldCharType="end"/>
      </w:r>
    </w:p>
  </w:footnote>
  <w:footnote w:id="12">
    <w:p w:rsidR="004053B4" w:rsidRPr="00A85C01" w:rsidRDefault="004053B4" w:rsidP="00A85C01">
      <w:pPr>
        <w:pStyle w:val="FootnoteText"/>
        <w:ind w:firstLine="720"/>
        <w:jc w:val="both"/>
        <w:rPr>
          <w:rFonts w:ascii="Times New Roman" w:hAnsi="Times New Roman" w:cs="Times New Roman"/>
        </w:rPr>
      </w:pPr>
      <w:r w:rsidRPr="00A85C01">
        <w:rPr>
          <w:rStyle w:val="FootnoteReference"/>
          <w:rFonts w:ascii="Times New Roman" w:hAnsi="Times New Roman" w:cs="Times New Roman"/>
        </w:rPr>
        <w:footnoteRef/>
      </w:r>
      <w:r w:rsidRPr="00A85C01">
        <w:rPr>
          <w:rFonts w:ascii="Times New Roman" w:hAnsi="Times New Roman" w:cs="Times New Roman"/>
        </w:rPr>
        <w:t xml:space="preserve"> </w:t>
      </w:r>
      <w:r w:rsidRPr="00A85C01">
        <w:rPr>
          <w:rFonts w:ascii="Times New Roman" w:hAnsi="Times New Roman" w:cs="Times New Roman"/>
        </w:rPr>
        <w:fldChar w:fldCharType="begin" w:fldLock="1"/>
      </w:r>
      <w:r w:rsidR="00DF7A80" w:rsidRPr="00A85C01">
        <w:rPr>
          <w:rFonts w:ascii="Times New Roman" w:hAnsi="Times New Roman" w:cs="Times New Roman"/>
        </w:rPr>
        <w:instrText>ADDIN CSL_CITATION {"citationItems":[{"id":"ITEM-1","itemData":{"DOI":"10.33474/basa.v3i1.19596","author":[{"dropping-particle":"","family":"Wajdi","given":"Muh B N","non-dropping-particle":"","parse-names":false,"suffix":""},{"dropping-particle":"","family":"Husniyah","given":"Nur I","non-dropping-particle":"","parse-names":false,"suffix":""},{"dropping-particle":"","family":"Ahmad","given":"Victor I","non-dropping-particle":"","parse-names":false,"suffix":""},{"dropping-particle":"","family":"Putra","given":"Miftakhul I S","non-dropping-particle":"","parse-names":false,"suffix":""},{"dropping-particle":"","family":"Syarofi","given":"Ahmad M","non-dropping-particle":"","parse-names":false,"suffix":""}],"container-title":"Basa Journal of Language &amp; Literature","id":"ITEM-1","issue":"1","issued":{"date-parts":[["2023"]]},"page":"11-17","title":"Understanding the Quran Holistically: Interdisciplinary Study of the Language and Linguistics of the Quran","type":"article-journal","volume":"3"},"uris":["http://www.mendeley.com/documents/?uuid=a6fee268-dee8-4c46-93d1-ef05207e4123"]}],"mendeley":{"formattedCitation":"Muh B N Wajdi et al., “Understanding the Quran Holistically: Interdisciplinary Study of the Language and Linguistics of the Quran,” &lt;i&gt;Basa Journal of Language &amp; Literature&lt;/i&gt; 3, no. 1 (2023): 11–17, https://doi.org/10.33474/basa.v3i1.19596.","plainTextFormattedCitation":"Muh B N Wajdi et al., “Understanding the Quran Holistically: Interdisciplinary Study of the Language and Linguistics of the Quran,” Basa Journal of Language &amp; Literature 3, no. 1 (2023): 11–17, https://doi.org/10.33474/basa.v3i1.19596.","previouslyFormattedCitation":"Muh B N Wajdi et al., “Understanding the Quran Holistically: Interdisciplinary Study of the Language and Linguistics of the Quran,” &lt;i&gt;Basa Journal of Language &amp; Literature&lt;/i&gt; 3, no. 1 (2023): 11–17, https://doi.org/10.33474/basa.v3i1.19596."},"properties":{"noteIndex":12},"schema":"https://github.com/citation-style-language/schema/raw/master/csl-citation.json"}</w:instrText>
      </w:r>
      <w:r w:rsidRPr="00A85C01">
        <w:rPr>
          <w:rFonts w:ascii="Times New Roman" w:hAnsi="Times New Roman" w:cs="Times New Roman"/>
        </w:rPr>
        <w:fldChar w:fldCharType="separate"/>
      </w:r>
      <w:r w:rsidRPr="00A85C01">
        <w:rPr>
          <w:rFonts w:ascii="Times New Roman" w:hAnsi="Times New Roman" w:cs="Times New Roman"/>
          <w:noProof/>
        </w:rPr>
        <w:t xml:space="preserve">Muh B N Wajdi et al., “Understanding the Quran Holistically: Interdisciplinary Study of the Language and Linguistics of the Quran,” </w:t>
      </w:r>
      <w:r w:rsidRPr="00A85C01">
        <w:rPr>
          <w:rFonts w:ascii="Times New Roman" w:hAnsi="Times New Roman" w:cs="Times New Roman"/>
          <w:i/>
          <w:noProof/>
        </w:rPr>
        <w:t>Basa Journal of Language &amp; Literature</w:t>
      </w:r>
      <w:r w:rsidRPr="00A85C01">
        <w:rPr>
          <w:rFonts w:ascii="Times New Roman" w:hAnsi="Times New Roman" w:cs="Times New Roman"/>
          <w:noProof/>
        </w:rPr>
        <w:t xml:space="preserve"> 3, no. 1 (2023): 11–17, https://doi.org/10.33474/basa.v3i1.19596.</w:t>
      </w:r>
      <w:r w:rsidRPr="00A85C01">
        <w:rPr>
          <w:rFonts w:ascii="Times New Roman" w:hAnsi="Times New Roman" w:cs="Times New Roman"/>
        </w:rPr>
        <w:fldChar w:fldCharType="end"/>
      </w:r>
    </w:p>
  </w:footnote>
  <w:footnote w:id="13">
    <w:p w:rsidR="00DF7A80" w:rsidRPr="00A85C01" w:rsidRDefault="00DF7A80" w:rsidP="00A85C01">
      <w:pPr>
        <w:pStyle w:val="FootnoteText"/>
        <w:ind w:firstLine="720"/>
        <w:jc w:val="both"/>
        <w:rPr>
          <w:rFonts w:ascii="Times New Roman" w:hAnsi="Times New Roman" w:cs="Times New Roman"/>
        </w:rPr>
      </w:pPr>
      <w:r w:rsidRPr="00A85C01">
        <w:rPr>
          <w:rStyle w:val="FootnoteReference"/>
          <w:rFonts w:ascii="Times New Roman" w:hAnsi="Times New Roman" w:cs="Times New Roman"/>
        </w:rPr>
        <w:footnoteRef/>
      </w:r>
      <w:r w:rsidRPr="00A85C01">
        <w:rPr>
          <w:rFonts w:ascii="Times New Roman" w:hAnsi="Times New Roman" w:cs="Times New Roman"/>
        </w:rPr>
        <w:t xml:space="preserve"> </w:t>
      </w:r>
      <w:r w:rsidRPr="00A85C01">
        <w:rPr>
          <w:rFonts w:ascii="Times New Roman" w:hAnsi="Times New Roman" w:cs="Times New Roman"/>
        </w:rPr>
        <w:fldChar w:fldCharType="begin" w:fldLock="1"/>
      </w:r>
      <w:r w:rsidRPr="00A85C01">
        <w:rPr>
          <w:rFonts w:ascii="Times New Roman" w:hAnsi="Times New Roman" w:cs="Times New Roman"/>
        </w:rPr>
        <w:instrText>ADDIN CSL_CITATION {"citationItems":[{"id":"ITEM-1","itemData":{"author":[{"dropping-particle":"","family":"Mustansir Mir","given":"","non-dropping-particle":"","parse-names":false,"suffix":""}],"editor":[{"dropping-particle":"","family":", Oxford University Press, 1986","given":"hlm. 32-35)","non-dropping-particle":"","parse-names":false,"suffix":""}],"id":"ITEM-1","issued":{"date-parts":[["1986"]]},"publisher-place":"Oxford University Press","title":"Hermeneutics and the Qur'an, h 32-35","type":"book"},"uris":["http://www.mendeley.com/documents/?uuid=72f43d39-e0ed-4f88-a630-19c5416771ad"]}],"mendeley":{"formattedCitation":"Mustansir Mir, &lt;i&gt;Hermeneutics and the Qur’an, h 32-35&lt;/i&gt;, ed. hlm. 32-35) , Oxford University Press, 1986 (Oxford University Press, 1986).","plainTextFormattedCitation":"Mustansir Mir, Hermeneutics and the Qur’an, h 32-35, ed. hlm. 32-35) , Oxford University Press, 1986 (Oxford University Press, 1986).","previouslyFormattedCitation":"Mustansir Mir, &lt;i&gt;Hermeneutics and the Qur’an, h 32-35&lt;/i&gt;, ed. hlm. 32-35) , Oxford University Press, 1986 (Oxford University Press, 1986)."},"properties":{"noteIndex":13},"schema":"https://github.com/citation-style-language/schema/raw/master/csl-citation.json"}</w:instrText>
      </w:r>
      <w:r w:rsidRPr="00A85C01">
        <w:rPr>
          <w:rFonts w:ascii="Times New Roman" w:hAnsi="Times New Roman" w:cs="Times New Roman"/>
        </w:rPr>
        <w:fldChar w:fldCharType="separate"/>
      </w:r>
      <w:r w:rsidRPr="00A85C01">
        <w:rPr>
          <w:rFonts w:ascii="Times New Roman" w:hAnsi="Times New Roman" w:cs="Times New Roman"/>
          <w:noProof/>
        </w:rPr>
        <w:t xml:space="preserve">Mustansir Mir, </w:t>
      </w:r>
      <w:r w:rsidRPr="00A85C01">
        <w:rPr>
          <w:rFonts w:ascii="Times New Roman" w:hAnsi="Times New Roman" w:cs="Times New Roman"/>
          <w:i/>
          <w:noProof/>
        </w:rPr>
        <w:t>Hermeneutics and the Qur’an, h 32-35</w:t>
      </w:r>
      <w:r w:rsidRPr="00A85C01">
        <w:rPr>
          <w:rFonts w:ascii="Times New Roman" w:hAnsi="Times New Roman" w:cs="Times New Roman"/>
          <w:noProof/>
        </w:rPr>
        <w:t>, ed. hlm. 32-35) , Oxford University Press, 1986 (Oxford University Press, 1986).</w:t>
      </w:r>
      <w:r w:rsidRPr="00A85C01">
        <w:rPr>
          <w:rFonts w:ascii="Times New Roman" w:hAnsi="Times New Roman" w:cs="Times New Roman"/>
        </w:rPr>
        <w:fldChar w:fldCharType="end"/>
      </w:r>
    </w:p>
  </w:footnote>
  <w:footnote w:id="14">
    <w:p w:rsidR="00DF7A80" w:rsidRPr="00A85C01" w:rsidRDefault="00DF7A80" w:rsidP="00A85C01">
      <w:pPr>
        <w:pStyle w:val="FootnoteText"/>
        <w:ind w:firstLine="720"/>
        <w:jc w:val="both"/>
        <w:rPr>
          <w:rFonts w:ascii="Times New Roman" w:hAnsi="Times New Roman" w:cs="Times New Roman"/>
        </w:rPr>
      </w:pPr>
      <w:r w:rsidRPr="00A85C01">
        <w:rPr>
          <w:rStyle w:val="FootnoteReference"/>
          <w:rFonts w:ascii="Times New Roman" w:hAnsi="Times New Roman" w:cs="Times New Roman"/>
        </w:rPr>
        <w:footnoteRef/>
      </w:r>
      <w:r w:rsidRPr="00A85C01">
        <w:rPr>
          <w:rFonts w:ascii="Times New Roman" w:hAnsi="Times New Roman" w:cs="Times New Roman"/>
        </w:rPr>
        <w:t xml:space="preserve"> </w:t>
      </w:r>
      <w:r w:rsidRPr="00A85C01">
        <w:rPr>
          <w:rFonts w:ascii="Times New Roman" w:hAnsi="Times New Roman" w:cs="Times New Roman"/>
        </w:rPr>
        <w:fldChar w:fldCharType="begin" w:fldLock="1"/>
      </w:r>
      <w:r w:rsidRPr="00A85C01">
        <w:rPr>
          <w:rFonts w:ascii="Times New Roman" w:hAnsi="Times New Roman" w:cs="Times New Roman"/>
        </w:rPr>
        <w:instrText>ADDIN CSL_CITATION {"citationItems":[{"id":"ITEM-1","itemData":{"author":[{"dropping-particle":"","family":"Yasir Qadi","given":"","non-dropping-particle":"","parse-names":false,"suffix":""}],"id":"ITEM-1","issued":{"date-parts":[["1999"]]},"publisher":"Al-Hidaayah Publishing, 1999, hlm. 57).","title":"Introduction to the Principles of Qur'anic Exegesis, h 57","type":"book"},"uris":["http://www.mendeley.com/documents/?uuid=cc979584-60e2-4b01-ad1f-651d63cef9c8"]}],"mendeley":{"formattedCitation":"Yasir Qadi, &lt;i&gt;Introduction to the Principles of Qur’anic Exegesis, h 57&lt;/i&gt; (Al-Hidaayah Publishing, 1999, hlm. 57)., 1999).","plainTextFormattedCitation":"Yasir Qadi, Introduction to the Principles of Qur’anic Exegesis, h 57 (Al-Hidaayah Publishing, 1999, hlm. 57)., 1999).","previouslyFormattedCitation":"Yasir Qadi, &lt;i&gt;Introduction to the Principles of Qur’anic Exegesis, h 57&lt;/i&gt; (Al-Hidaayah Publishing, 1999, hlm. 57)., 1999)."},"properties":{"noteIndex":14},"schema":"https://github.com/citation-style-language/schema/raw/master/csl-citation.json"}</w:instrText>
      </w:r>
      <w:r w:rsidRPr="00A85C01">
        <w:rPr>
          <w:rFonts w:ascii="Times New Roman" w:hAnsi="Times New Roman" w:cs="Times New Roman"/>
        </w:rPr>
        <w:fldChar w:fldCharType="separate"/>
      </w:r>
      <w:r w:rsidRPr="00A85C01">
        <w:rPr>
          <w:rFonts w:ascii="Times New Roman" w:hAnsi="Times New Roman" w:cs="Times New Roman"/>
          <w:noProof/>
        </w:rPr>
        <w:t xml:space="preserve">Yasir Qadi, </w:t>
      </w:r>
      <w:r w:rsidRPr="00A85C01">
        <w:rPr>
          <w:rFonts w:ascii="Times New Roman" w:hAnsi="Times New Roman" w:cs="Times New Roman"/>
          <w:i/>
          <w:noProof/>
        </w:rPr>
        <w:t>Introduction to the Principles of Qur’anic Exegesis, h 57</w:t>
      </w:r>
      <w:r w:rsidRPr="00A85C01">
        <w:rPr>
          <w:rFonts w:ascii="Times New Roman" w:hAnsi="Times New Roman" w:cs="Times New Roman"/>
          <w:noProof/>
        </w:rPr>
        <w:t xml:space="preserve"> (Al-Hidaayah Publishing, 1999, hlm. 57)., 1999).</w:t>
      </w:r>
      <w:r w:rsidRPr="00A85C01">
        <w:rPr>
          <w:rFonts w:ascii="Times New Roman" w:hAnsi="Times New Roman" w:cs="Times New Roman"/>
        </w:rPr>
        <w:fldChar w:fldCharType="end"/>
      </w:r>
    </w:p>
  </w:footnote>
  <w:footnote w:id="15">
    <w:p w:rsidR="00691E36" w:rsidRPr="00A85C01" w:rsidRDefault="00691E36" w:rsidP="00A85C01">
      <w:pPr>
        <w:pStyle w:val="FootnoteText"/>
        <w:ind w:firstLine="720"/>
        <w:jc w:val="both"/>
        <w:rPr>
          <w:rFonts w:ascii="Times New Roman" w:hAnsi="Times New Roman" w:cs="Times New Roman"/>
        </w:rPr>
      </w:pPr>
      <w:r w:rsidRPr="00A85C01">
        <w:rPr>
          <w:rStyle w:val="FootnoteReference"/>
          <w:rFonts w:ascii="Times New Roman" w:hAnsi="Times New Roman" w:cs="Times New Roman"/>
        </w:rPr>
        <w:footnoteRef/>
      </w:r>
      <w:r w:rsidRPr="00A85C01">
        <w:rPr>
          <w:rFonts w:ascii="Times New Roman" w:hAnsi="Times New Roman" w:cs="Times New Roman"/>
        </w:rPr>
        <w:t xml:space="preserve"> </w:t>
      </w:r>
      <w:r w:rsidRPr="00A85C01">
        <w:rPr>
          <w:rFonts w:ascii="Times New Roman" w:hAnsi="Times New Roman" w:cs="Times New Roman"/>
        </w:rPr>
        <w:fldChar w:fldCharType="begin" w:fldLock="1"/>
      </w:r>
      <w:r w:rsidRPr="00A85C01">
        <w:rPr>
          <w:rFonts w:ascii="Times New Roman" w:hAnsi="Times New Roman" w:cs="Times New Roman"/>
        </w:rPr>
        <w:instrText>ADDIN CSL_CITATION {"citationItems":[{"id":"ITEM-1","itemData":{"author":[{"dropping-particle":"","family":"Jalaluddin al-Suyuti","given":"","non-dropping-particle":"","parse-names":false,"suffix":""}],"id":"ITEM-1","issued":{"date-parts":[["0"]]},"publisher":"Al-Suyuti, Al-Itqan fi Ulum al-Qur'an, Dar al-Kutub al-Ilmiyyah, Juz 1, hlm. 25).","title":"Al-Itqan fi Ulum al-Qur'an, Juz I, h 25","type":"book"},"uris":["http://www.mendeley.com/documents/?uuid=4085e446-76f8-4717-a793-47cba979126b"]}],"mendeley":{"formattedCitation":"Jalaluddin al-Suyuti, &lt;i&gt;Al-Itqan Fi Ulum Al-Qur’an, Juz I, h 25&lt;/i&gt; (Al-Suyuti, Al-Itqan fi Ulum al-Qur’an, Dar al-Kutub al-Ilmiyyah, Juz 1, hlm. 25)., n.d.).","plainTextFormattedCitation":"Jalaluddin al-Suyuti, Al-Itqan Fi Ulum Al-Qur’an, Juz I, h 25 (Al-Suyuti, Al-Itqan fi Ulum al-Qur’an, Dar al-Kutub al-Ilmiyyah, Juz 1, hlm. 25)., n.d.).","previouslyFormattedCitation":"Jalaluddin al-Suyuti, &lt;i&gt;Al-Itqan Fi Ulum Al-Qur’an, Juz I, h 25&lt;/i&gt; (Al-Suyuti, Al-Itqan fi Ulum al-Qur’an, Dar al-Kutub al-Ilmiyyah, Juz 1, hlm. 25)., n.d.)."},"properties":{"noteIndex":15},"schema":"https://github.com/citation-style-language/schema/raw/master/csl-citation.json"}</w:instrText>
      </w:r>
      <w:r w:rsidRPr="00A85C01">
        <w:rPr>
          <w:rFonts w:ascii="Times New Roman" w:hAnsi="Times New Roman" w:cs="Times New Roman"/>
        </w:rPr>
        <w:fldChar w:fldCharType="separate"/>
      </w:r>
      <w:r w:rsidRPr="00A85C01">
        <w:rPr>
          <w:rFonts w:ascii="Times New Roman" w:hAnsi="Times New Roman" w:cs="Times New Roman"/>
          <w:noProof/>
        </w:rPr>
        <w:t xml:space="preserve">Jalaluddin al-Suyuti, </w:t>
      </w:r>
      <w:r w:rsidRPr="00A85C01">
        <w:rPr>
          <w:rFonts w:ascii="Times New Roman" w:hAnsi="Times New Roman" w:cs="Times New Roman"/>
          <w:i/>
          <w:noProof/>
        </w:rPr>
        <w:t>Al-Itqan Fi Ulum Al-Qur’an, Juz I, h 25</w:t>
      </w:r>
      <w:r w:rsidRPr="00A85C01">
        <w:rPr>
          <w:rFonts w:ascii="Times New Roman" w:hAnsi="Times New Roman" w:cs="Times New Roman"/>
          <w:noProof/>
        </w:rPr>
        <w:t xml:space="preserve"> (Al-Suyuti, Al-Itqan fi Ulum al-Qur’an, Dar al-Kutub al-Ilmiyyah, Juz 1, hlm. 25)., n.d.).</w:t>
      </w:r>
      <w:r w:rsidRPr="00A85C01">
        <w:rPr>
          <w:rFonts w:ascii="Times New Roman" w:hAnsi="Times New Roman" w:cs="Times New Roman"/>
        </w:rPr>
        <w:fldChar w:fldCharType="end"/>
      </w:r>
    </w:p>
  </w:footnote>
  <w:footnote w:id="16">
    <w:p w:rsidR="00DF7A80" w:rsidRPr="00A85C01" w:rsidRDefault="00DF7A80" w:rsidP="00A85C01">
      <w:pPr>
        <w:pStyle w:val="FootnoteText"/>
        <w:ind w:firstLine="720"/>
        <w:jc w:val="both"/>
        <w:rPr>
          <w:rFonts w:ascii="Times New Roman" w:hAnsi="Times New Roman" w:cs="Times New Roman"/>
        </w:rPr>
      </w:pPr>
      <w:r w:rsidRPr="00A85C01">
        <w:rPr>
          <w:rStyle w:val="FootnoteReference"/>
          <w:rFonts w:ascii="Times New Roman" w:hAnsi="Times New Roman" w:cs="Times New Roman"/>
        </w:rPr>
        <w:footnoteRef/>
      </w:r>
      <w:r w:rsidRPr="00A85C01">
        <w:rPr>
          <w:rFonts w:ascii="Times New Roman" w:hAnsi="Times New Roman" w:cs="Times New Roman"/>
        </w:rPr>
        <w:t xml:space="preserve"> </w:t>
      </w:r>
      <w:r w:rsidRPr="00A85C01">
        <w:rPr>
          <w:rFonts w:ascii="Times New Roman" w:hAnsi="Times New Roman" w:cs="Times New Roman"/>
        </w:rPr>
        <w:fldChar w:fldCharType="begin" w:fldLock="1"/>
      </w:r>
      <w:r w:rsidR="00691E36" w:rsidRPr="00A85C01">
        <w:rPr>
          <w:rFonts w:ascii="Times New Roman" w:hAnsi="Times New Roman" w:cs="Times New Roman"/>
        </w:rPr>
        <w:instrText>ADDIN CSL_CITATION {"citationItems":[{"id":"ITEM-1","itemData":{"author":[{"dropping-particle":"","family":"Mustansir Mir","given":"","non-dropping-particle":"","parse-names":false,"suffix":""}],"editor":[{"dropping-particle":"","family":", Oxford University Press, 1986","given":"hlm. 32-35)","non-dropping-particle":"","parse-names":false,"suffix":""}],"id":"ITEM-1","issued":{"date-parts":[["1986"]]},"publisher-place":"Oxford University Press","title":"Hermeneutics and the Qur'an, h 32-35","type":"book"},"uris":["http://www.mendeley.com/documents/?uuid=72f43d39-e0ed-4f88-a630-19c5416771ad"]}],"mendeley":{"formattedCitation":"Mustansir Mir, &lt;i&gt;Hermeneutics and the Qur’an, h 32-35&lt;/i&gt;.","plainTextFormattedCitation":"Mustansir Mir, Hermeneutics and the Qur’an, h 32-35.","previouslyFormattedCitation":"Mustansir Mir, &lt;i&gt;Hermeneutics and the Qur’an, h 32-35&lt;/i&gt;."},"properties":{"noteIndex":16},"schema":"https://github.com/citation-style-language/schema/raw/master/csl-citation.json"}</w:instrText>
      </w:r>
      <w:r w:rsidRPr="00A85C01">
        <w:rPr>
          <w:rFonts w:ascii="Times New Roman" w:hAnsi="Times New Roman" w:cs="Times New Roman"/>
        </w:rPr>
        <w:fldChar w:fldCharType="separate"/>
      </w:r>
      <w:r w:rsidRPr="00A85C01">
        <w:rPr>
          <w:rFonts w:ascii="Times New Roman" w:hAnsi="Times New Roman" w:cs="Times New Roman"/>
          <w:noProof/>
        </w:rPr>
        <w:t xml:space="preserve">Mustansir Mir, </w:t>
      </w:r>
      <w:r w:rsidRPr="00A85C01">
        <w:rPr>
          <w:rFonts w:ascii="Times New Roman" w:hAnsi="Times New Roman" w:cs="Times New Roman"/>
          <w:i/>
          <w:noProof/>
        </w:rPr>
        <w:t>Hermeneutics and the Qur’an, h 32-35</w:t>
      </w:r>
      <w:r w:rsidRPr="00A85C01">
        <w:rPr>
          <w:rFonts w:ascii="Times New Roman" w:hAnsi="Times New Roman" w:cs="Times New Roman"/>
          <w:noProof/>
        </w:rPr>
        <w:t>.</w:t>
      </w:r>
      <w:r w:rsidRPr="00A85C01">
        <w:rPr>
          <w:rFonts w:ascii="Times New Roman" w:hAnsi="Times New Roman" w:cs="Times New Roman"/>
        </w:rPr>
        <w:fldChar w:fldCharType="end"/>
      </w:r>
    </w:p>
  </w:footnote>
  <w:footnote w:id="17">
    <w:p w:rsidR="00691E36" w:rsidRPr="00A85C01" w:rsidRDefault="00691E36" w:rsidP="00A85C01">
      <w:pPr>
        <w:pStyle w:val="FootnoteText"/>
        <w:ind w:firstLine="720"/>
        <w:jc w:val="both"/>
        <w:rPr>
          <w:rFonts w:ascii="Times New Roman" w:hAnsi="Times New Roman" w:cs="Times New Roman"/>
        </w:rPr>
      </w:pPr>
      <w:r w:rsidRPr="00A85C01">
        <w:rPr>
          <w:rStyle w:val="FootnoteReference"/>
          <w:rFonts w:ascii="Times New Roman" w:hAnsi="Times New Roman" w:cs="Times New Roman"/>
        </w:rPr>
        <w:footnoteRef/>
      </w:r>
      <w:r w:rsidRPr="00A85C01">
        <w:rPr>
          <w:rFonts w:ascii="Times New Roman" w:hAnsi="Times New Roman" w:cs="Times New Roman"/>
        </w:rPr>
        <w:t xml:space="preserve"> </w:t>
      </w:r>
      <w:r w:rsidRPr="00A85C01">
        <w:rPr>
          <w:rFonts w:ascii="Times New Roman" w:hAnsi="Times New Roman" w:cs="Times New Roman"/>
        </w:rPr>
        <w:fldChar w:fldCharType="begin" w:fldLock="1"/>
      </w:r>
      <w:r w:rsidRPr="00A85C01">
        <w:rPr>
          <w:rFonts w:ascii="Times New Roman" w:hAnsi="Times New Roman" w:cs="Times New Roman"/>
        </w:rPr>
        <w:instrText>ADDIN CSL_CITATION {"citationItems":[{"id":"ITEM-1","itemData":{"author":[{"dropping-particle":"","family":"Jalaluddin al-Suyuti","given":"","non-dropping-particle":"","parse-names":false,"suffix":""}],"id":"ITEM-1","issued":{"date-parts":[["0"]]},"publisher":"Al-Suyuti, Al-Itqan fi Ulum al-Qur'an, Dar al-Kutub al-Ilmiyyah, Juz 1, hlm. 25).","title":"Al-Itqan fi Ulum al-Qur'an, Juz I, h 25","type":"book"},"uris":["http://www.mendeley.com/documents/?uuid=4085e446-76f8-4717-a793-47cba979126b"]}],"mendeley":{"formattedCitation":"Jalaluddin al-Suyuti, &lt;i&gt;Al-Itqan Fi Ulum Al-Qur’an, Juz I, h 25&lt;/i&gt;.","plainTextFormattedCitation":"Jalaluddin al-Suyuti, Al-Itqan Fi Ulum Al-Qur’an, Juz I, h 25.","previouslyFormattedCitation":"Jalaluddin al-Suyuti, &lt;i&gt;Al-Itqan Fi Ulum Al-Qur’an, Juz I, h 25&lt;/i&gt;."},"properties":{"noteIndex":17},"schema":"https://github.com/citation-style-language/schema/raw/master/csl-citation.json"}</w:instrText>
      </w:r>
      <w:r w:rsidRPr="00A85C01">
        <w:rPr>
          <w:rFonts w:ascii="Times New Roman" w:hAnsi="Times New Roman" w:cs="Times New Roman"/>
        </w:rPr>
        <w:fldChar w:fldCharType="separate"/>
      </w:r>
      <w:r w:rsidRPr="00A85C01">
        <w:rPr>
          <w:rFonts w:ascii="Times New Roman" w:hAnsi="Times New Roman" w:cs="Times New Roman"/>
          <w:noProof/>
        </w:rPr>
        <w:t xml:space="preserve">Jalaluddin al-Suyuti, </w:t>
      </w:r>
      <w:r w:rsidRPr="00A85C01">
        <w:rPr>
          <w:rFonts w:ascii="Times New Roman" w:hAnsi="Times New Roman" w:cs="Times New Roman"/>
          <w:i/>
          <w:noProof/>
        </w:rPr>
        <w:t>Al-Itqan Fi Ulum Al-Qur’an, Juz I, h 25</w:t>
      </w:r>
      <w:r w:rsidRPr="00A85C01">
        <w:rPr>
          <w:rFonts w:ascii="Times New Roman" w:hAnsi="Times New Roman" w:cs="Times New Roman"/>
          <w:noProof/>
        </w:rPr>
        <w:t>.</w:t>
      </w:r>
      <w:r w:rsidRPr="00A85C01">
        <w:rPr>
          <w:rFonts w:ascii="Times New Roman" w:hAnsi="Times New Roman" w:cs="Times New Roman"/>
        </w:rPr>
        <w:fldChar w:fldCharType="end"/>
      </w:r>
    </w:p>
  </w:footnote>
  <w:footnote w:id="18">
    <w:p w:rsidR="00DF7A80" w:rsidRPr="00A85C01" w:rsidRDefault="00DF7A80" w:rsidP="00A85C01">
      <w:pPr>
        <w:pStyle w:val="FootnoteText"/>
        <w:ind w:firstLine="720"/>
        <w:jc w:val="both"/>
        <w:rPr>
          <w:rFonts w:ascii="Times New Roman" w:hAnsi="Times New Roman" w:cs="Times New Roman"/>
        </w:rPr>
      </w:pPr>
      <w:r w:rsidRPr="00A85C01">
        <w:rPr>
          <w:rStyle w:val="FootnoteReference"/>
          <w:rFonts w:ascii="Times New Roman" w:hAnsi="Times New Roman" w:cs="Times New Roman"/>
        </w:rPr>
        <w:footnoteRef/>
      </w:r>
      <w:r w:rsidRPr="00A85C01">
        <w:rPr>
          <w:rFonts w:ascii="Times New Roman" w:hAnsi="Times New Roman" w:cs="Times New Roman"/>
        </w:rPr>
        <w:t xml:space="preserve"> </w:t>
      </w:r>
      <w:r w:rsidRPr="00A85C01">
        <w:rPr>
          <w:rFonts w:ascii="Times New Roman" w:hAnsi="Times New Roman" w:cs="Times New Roman"/>
        </w:rPr>
        <w:fldChar w:fldCharType="begin" w:fldLock="1"/>
      </w:r>
      <w:r w:rsidR="00691E36" w:rsidRPr="00A85C01">
        <w:rPr>
          <w:rFonts w:ascii="Times New Roman" w:hAnsi="Times New Roman" w:cs="Times New Roman"/>
        </w:rPr>
        <w:instrText>ADDIN CSL_CITATION {"citationItems":[{"id":"ITEM-1","itemData":{"author":[{"dropping-particle":"","family":"Mustansir Mir","given":"","non-dropping-particle":"","parse-names":false,"suffix":""}],"editor":[{"dropping-particle":"","family":", Oxford University Press, 1986","given":"hlm. 32-35)","non-dropping-particle":"","parse-names":false,"suffix":""}],"id":"ITEM-1","issued":{"date-parts":[["1986"]]},"publisher-place":"Oxford University Press","title":"Hermeneutics and the Qur'an, h 32-35","type":"book"},"uris":["http://www.mendeley.com/documents/?uuid=72f43d39-e0ed-4f88-a630-19c5416771ad"]}],"mendeley":{"formattedCitation":"Mustansir Mir, &lt;i&gt;Hermeneutics and the Qur’an, h 32-35&lt;/i&gt;.","plainTextFormattedCitation":"Mustansir Mir, Hermeneutics and the Qur’an, h 32-35.","previouslyFormattedCitation":"Mustansir Mir, &lt;i&gt;Hermeneutics and the Qur’an, h 32-35&lt;/i&gt;."},"properties":{"noteIndex":20},"schema":"https://github.com/citation-style-language/schema/raw/master/csl-citation.json"}</w:instrText>
      </w:r>
      <w:r w:rsidRPr="00A85C01">
        <w:rPr>
          <w:rFonts w:ascii="Times New Roman" w:hAnsi="Times New Roman" w:cs="Times New Roman"/>
        </w:rPr>
        <w:fldChar w:fldCharType="separate"/>
      </w:r>
      <w:r w:rsidRPr="00A85C01">
        <w:rPr>
          <w:rFonts w:ascii="Times New Roman" w:hAnsi="Times New Roman" w:cs="Times New Roman"/>
          <w:noProof/>
        </w:rPr>
        <w:t xml:space="preserve">Mustansir Mir, </w:t>
      </w:r>
      <w:r w:rsidRPr="00A85C01">
        <w:rPr>
          <w:rFonts w:ascii="Times New Roman" w:hAnsi="Times New Roman" w:cs="Times New Roman"/>
          <w:i/>
          <w:noProof/>
        </w:rPr>
        <w:t>Hermeneutics and the Qur’an, h 32-35</w:t>
      </w:r>
      <w:r w:rsidRPr="00A85C01">
        <w:rPr>
          <w:rFonts w:ascii="Times New Roman" w:hAnsi="Times New Roman" w:cs="Times New Roman"/>
          <w:noProof/>
        </w:rPr>
        <w:t>.</w:t>
      </w:r>
      <w:r w:rsidRPr="00A85C01">
        <w:rPr>
          <w:rFonts w:ascii="Times New Roman" w:hAnsi="Times New Roman" w:cs="Times New Roman"/>
        </w:rPr>
        <w:fldChar w:fldCharType="end"/>
      </w:r>
    </w:p>
  </w:footnote>
  <w:footnote w:id="19">
    <w:p w:rsidR="00DF7A80" w:rsidRPr="00A85C01" w:rsidRDefault="00DF7A80" w:rsidP="00A85C01">
      <w:pPr>
        <w:pStyle w:val="FootnoteText"/>
        <w:ind w:firstLine="720"/>
        <w:jc w:val="both"/>
        <w:rPr>
          <w:rFonts w:ascii="Times New Roman" w:hAnsi="Times New Roman" w:cs="Times New Roman"/>
        </w:rPr>
      </w:pPr>
      <w:r w:rsidRPr="00A85C01">
        <w:rPr>
          <w:rStyle w:val="FootnoteReference"/>
          <w:rFonts w:ascii="Times New Roman" w:hAnsi="Times New Roman" w:cs="Times New Roman"/>
        </w:rPr>
        <w:footnoteRef/>
      </w:r>
      <w:r w:rsidRPr="00A85C01">
        <w:rPr>
          <w:rFonts w:ascii="Times New Roman" w:hAnsi="Times New Roman" w:cs="Times New Roman"/>
        </w:rPr>
        <w:t xml:space="preserve"> </w:t>
      </w:r>
      <w:r w:rsidRPr="00A85C01">
        <w:rPr>
          <w:rFonts w:ascii="Times New Roman" w:hAnsi="Times New Roman" w:cs="Times New Roman"/>
        </w:rPr>
        <w:fldChar w:fldCharType="begin" w:fldLock="1"/>
      </w:r>
      <w:r w:rsidR="00691E36" w:rsidRPr="00A85C01">
        <w:rPr>
          <w:rFonts w:ascii="Times New Roman" w:hAnsi="Times New Roman" w:cs="Times New Roman"/>
        </w:rPr>
        <w:instrText>ADDIN CSL_CITATION {"citationItems":[{"id":"ITEM-1","itemData":{"DOI":"10.2991/icqhs-17.2018.24","author":[{"dropping-particle":"","family":"Riyani","given":"Irma","non-dropping-particle":"","parse-names":false,"suffix":""},{"dropping-particle":"","family":"Ismail","given":"Ecep","non-dropping-particle":"","parse-names":false,"suffix":""}],"id":"ITEM-1","issued":{"date-parts":[["2018"]]},"title":"qGOD IS BEYOND SEX/GENDERq MUSLIM FEMINIST HERMENEUTICAL METHOD TO THE QUR'An","type":"article-journal"},"uris":["http://www.mendeley.com/documents/?uuid=4cdb19e2-b9b2-4b24-85cd-9e3b5b4982e4"]}],"mendeley":{"formattedCitation":"Riyani and Ismail, “QGOD IS BEYOND SEX/GENDERq MUSLIM FEMINIST HERMENEUTICAL METHOD TO THE QUR’An.”","plainTextFormattedCitation":"Riyani and Ismail, “QGOD IS BEYOND SEX/GENDERq MUSLIM FEMINIST HERMENEUTICAL METHOD TO THE QUR’An.”","previouslyFormattedCitation":"Riyani and Ismail, “QGOD IS BEYOND SEX/GENDERq MUSLIM FEMINIST HERMENEUTICAL METHOD TO THE QUR’An.”"},"properties":{"noteIndex":21},"schema":"https://github.com/citation-style-language/schema/raw/master/csl-citation.json"}</w:instrText>
      </w:r>
      <w:r w:rsidRPr="00A85C01">
        <w:rPr>
          <w:rFonts w:ascii="Times New Roman" w:hAnsi="Times New Roman" w:cs="Times New Roman"/>
        </w:rPr>
        <w:fldChar w:fldCharType="separate"/>
      </w:r>
      <w:r w:rsidRPr="00A85C01">
        <w:rPr>
          <w:rFonts w:ascii="Times New Roman" w:hAnsi="Times New Roman" w:cs="Times New Roman"/>
          <w:noProof/>
        </w:rPr>
        <w:t>Riyani and Ismail, “QGOD IS BEYOND SEX/GENDERq MUSLIM FEMINIST HERMENEUTICAL METHOD TO THE QUR’An.”</w:t>
      </w:r>
      <w:r w:rsidRPr="00A85C01">
        <w:rPr>
          <w:rFonts w:ascii="Times New Roman" w:hAnsi="Times New Roman" w:cs="Times New Roman"/>
        </w:rPr>
        <w:fldChar w:fldCharType="end"/>
      </w:r>
    </w:p>
  </w:footnote>
  <w:footnote w:id="20">
    <w:p w:rsidR="00DF7A80" w:rsidRPr="00A85C01" w:rsidRDefault="00DF7A80" w:rsidP="00A85C01">
      <w:pPr>
        <w:pStyle w:val="FootnoteText"/>
        <w:ind w:firstLine="720"/>
        <w:jc w:val="both"/>
        <w:rPr>
          <w:rFonts w:ascii="Times New Roman" w:hAnsi="Times New Roman" w:cs="Times New Roman"/>
        </w:rPr>
      </w:pPr>
      <w:r w:rsidRPr="00A85C01">
        <w:rPr>
          <w:rStyle w:val="FootnoteReference"/>
          <w:rFonts w:ascii="Times New Roman" w:hAnsi="Times New Roman" w:cs="Times New Roman"/>
        </w:rPr>
        <w:footnoteRef/>
      </w:r>
      <w:r w:rsidRPr="00A85C01">
        <w:rPr>
          <w:rFonts w:ascii="Times New Roman" w:hAnsi="Times New Roman" w:cs="Times New Roman"/>
        </w:rPr>
        <w:t xml:space="preserve"> </w:t>
      </w:r>
      <w:r w:rsidRPr="00A85C01">
        <w:rPr>
          <w:rFonts w:ascii="Times New Roman" w:hAnsi="Times New Roman" w:cs="Times New Roman"/>
        </w:rPr>
        <w:fldChar w:fldCharType="begin" w:fldLock="1"/>
      </w:r>
      <w:r w:rsidR="00691E36" w:rsidRPr="00A85C01">
        <w:rPr>
          <w:rFonts w:ascii="Times New Roman" w:hAnsi="Times New Roman" w:cs="Times New Roman"/>
        </w:rPr>
        <w:instrText>ADDIN CSL_CITATION {"citationItems":[{"id":"ITEM-1","itemData":{"DOI":"10.20884/1.matan.2020.2.2.2989","author":[{"dropping-particle":"","family":"Zayyadi","given":"Ahmad","non-dropping-particle":"","parse-names":false,"suffix":""},{"dropping-particle":"","family":"Nurlaela","given":"Nurlaela","non-dropping-particle":"","parse-names":false,"suffix":""}],"container-title":"Matan Journal of Islam and Muslim Society","id":"ITEM-1","issue":"2","issued":{"date-parts":[["2020"]]},"page":"171","title":"No Title","type":"article-journal","volume":"2"},"uris":["http://www.mendeley.com/documents/?uuid=83845419-e290-455b-863d-a6e365814a08"]}],"mendeley":{"formattedCitation":"Ahmad Zayyadi and Nurlaela Nurlaela, “No Title,” &lt;i&gt;Matan Journal of Islam and Muslim Society&lt;/i&gt; 2, no. 2 (2020): 171, https://doi.org/10.20884/1.matan.2020.2.2.2989.","plainTextFormattedCitation":"Ahmad Zayyadi and Nurlaela Nurlaela, “No Title,” Matan Journal of Islam and Muslim Society 2, no. 2 (2020): 171, https://doi.org/10.20884/1.matan.2020.2.2.2989.","previouslyFormattedCitation":"Ahmad Zayyadi and Nurlaela Nurlaela, “No Title,” &lt;i&gt;Matan Journal of Islam and Muslim Society&lt;/i&gt; 2, no. 2 (2020): 171, https://doi.org/10.20884/1.matan.2020.2.2.2989."},"properties":{"noteIndex":22},"schema":"https://github.com/citation-style-language/schema/raw/master/csl-citation.json"}</w:instrText>
      </w:r>
      <w:r w:rsidRPr="00A85C01">
        <w:rPr>
          <w:rFonts w:ascii="Times New Roman" w:hAnsi="Times New Roman" w:cs="Times New Roman"/>
        </w:rPr>
        <w:fldChar w:fldCharType="separate"/>
      </w:r>
      <w:r w:rsidRPr="00A85C01">
        <w:rPr>
          <w:rFonts w:ascii="Times New Roman" w:hAnsi="Times New Roman" w:cs="Times New Roman"/>
          <w:noProof/>
        </w:rPr>
        <w:t xml:space="preserve">Ahmad Zayyadi and Nurlaela Nurlaela, “No Title,” </w:t>
      </w:r>
      <w:r w:rsidRPr="00A85C01">
        <w:rPr>
          <w:rFonts w:ascii="Times New Roman" w:hAnsi="Times New Roman" w:cs="Times New Roman"/>
          <w:i/>
          <w:noProof/>
        </w:rPr>
        <w:t>Matan Journal of Islam and Muslim Society</w:t>
      </w:r>
      <w:r w:rsidRPr="00A85C01">
        <w:rPr>
          <w:rFonts w:ascii="Times New Roman" w:hAnsi="Times New Roman" w:cs="Times New Roman"/>
          <w:noProof/>
        </w:rPr>
        <w:t xml:space="preserve"> 2, no. 2 (2020): 171, https://doi.org/10.20884/1.matan.2020.2.2.2989.</w:t>
      </w:r>
      <w:r w:rsidRPr="00A85C01">
        <w:rPr>
          <w:rFonts w:ascii="Times New Roman" w:hAnsi="Times New Roman" w:cs="Times New Roman"/>
        </w:rPr>
        <w:fldChar w:fldCharType="end"/>
      </w:r>
    </w:p>
  </w:footnote>
  <w:footnote w:id="21">
    <w:p w:rsidR="00DF7A80" w:rsidRPr="00A85C01" w:rsidRDefault="00DF7A80" w:rsidP="003642C6">
      <w:pPr>
        <w:pStyle w:val="FootnoteText"/>
        <w:ind w:firstLine="720"/>
        <w:jc w:val="both"/>
        <w:rPr>
          <w:rFonts w:ascii="Times New Roman" w:hAnsi="Times New Roman" w:cs="Times New Roman"/>
        </w:rPr>
      </w:pPr>
      <w:r w:rsidRPr="00A85C01">
        <w:rPr>
          <w:rStyle w:val="FootnoteReference"/>
          <w:rFonts w:ascii="Times New Roman" w:hAnsi="Times New Roman" w:cs="Times New Roman"/>
        </w:rPr>
        <w:footnoteRef/>
      </w:r>
      <w:r w:rsidRPr="00A85C01">
        <w:rPr>
          <w:rFonts w:ascii="Times New Roman" w:hAnsi="Times New Roman" w:cs="Times New Roman"/>
        </w:rPr>
        <w:t xml:space="preserve"> </w:t>
      </w:r>
      <w:r w:rsidRPr="00A85C01">
        <w:rPr>
          <w:rFonts w:ascii="Times New Roman" w:hAnsi="Times New Roman" w:cs="Times New Roman"/>
        </w:rPr>
        <w:fldChar w:fldCharType="begin" w:fldLock="1"/>
      </w:r>
      <w:r w:rsidR="00691E36" w:rsidRPr="00A85C01">
        <w:rPr>
          <w:rFonts w:ascii="Times New Roman" w:hAnsi="Times New Roman" w:cs="Times New Roman"/>
        </w:rPr>
        <w:instrText>ADDIN CSL_CITATION {"citationItems":[{"id":"ITEM-1","itemData":{"DOI":"10.2991/icqhs-17.2018.24","author":[{"dropping-particle":"","family":"Riyani","given":"Irma","non-dropping-particle":"","parse-names":false,"suffix":""},{"dropping-particle":"","family":"Ismail","given":"Ecep","non-dropping-particle":"","parse-names":false,"suffix":""}],"id":"ITEM-1","issued":{"date-parts":[["2018"]]},"title":"qGOD IS BEYOND SEX/GENDERq MUSLIM FEMINIST HERMENEUTICAL METHOD TO THE QUR'An","type":"article-journal"},"uris":["http://www.mendeley.com/documents/?uuid=4cdb19e2-b9b2-4b24-85cd-9e3b5b4982e4"]}],"mendeley":{"formattedCitation":"Riyani and Ismail, “QGOD IS BEYOND SEX/GENDERq MUSLIM FEMINIST HERMENEUTICAL METHOD TO THE QUR’An.”","plainTextFormattedCitation":"Riyani and Ismail, “QGOD IS BEYOND SEX/GENDERq MUSLIM FEMINIST HERMENEUTICAL METHOD TO THE QUR’An.”","previouslyFormattedCitation":"Riyani and Ismail, “QGOD IS BEYOND SEX/GENDERq MUSLIM FEMINIST HERMENEUTICAL METHOD TO THE QUR’An.”"},"properties":{"noteIndex":23},"schema":"https://github.com/citation-style-language/schema/raw/master/csl-citation.json"}</w:instrText>
      </w:r>
      <w:r w:rsidRPr="00A85C01">
        <w:rPr>
          <w:rFonts w:ascii="Times New Roman" w:hAnsi="Times New Roman" w:cs="Times New Roman"/>
        </w:rPr>
        <w:fldChar w:fldCharType="separate"/>
      </w:r>
      <w:r w:rsidRPr="00A85C01">
        <w:rPr>
          <w:rFonts w:ascii="Times New Roman" w:hAnsi="Times New Roman" w:cs="Times New Roman"/>
          <w:noProof/>
        </w:rPr>
        <w:t>Riyani and Ismail, “QGOD IS BEYOND SEX/GENDERq MUSLIM FEMINIST HERMENEUTICAL METHOD TO THE QUR’An.”</w:t>
      </w:r>
      <w:r w:rsidRPr="00A85C01">
        <w:rPr>
          <w:rFonts w:ascii="Times New Roman" w:hAnsi="Times New Roman" w:cs="Times New Roman"/>
        </w:rPr>
        <w:fldChar w:fldCharType="end"/>
      </w:r>
    </w:p>
  </w:footnote>
  <w:footnote w:id="22">
    <w:p w:rsidR="00691E36" w:rsidRPr="00A85C01" w:rsidRDefault="00691E36" w:rsidP="003642C6">
      <w:pPr>
        <w:pStyle w:val="FootnoteText"/>
        <w:ind w:firstLine="720"/>
        <w:jc w:val="both"/>
        <w:rPr>
          <w:rFonts w:ascii="Times New Roman" w:hAnsi="Times New Roman" w:cs="Times New Roman"/>
        </w:rPr>
      </w:pPr>
      <w:r w:rsidRPr="00A85C01">
        <w:rPr>
          <w:rStyle w:val="FootnoteReference"/>
          <w:rFonts w:ascii="Times New Roman" w:hAnsi="Times New Roman" w:cs="Times New Roman"/>
        </w:rPr>
        <w:footnoteRef/>
      </w:r>
      <w:r w:rsidRPr="00A85C01">
        <w:rPr>
          <w:rFonts w:ascii="Times New Roman" w:hAnsi="Times New Roman" w:cs="Times New Roman"/>
        </w:rPr>
        <w:t xml:space="preserve"> </w:t>
      </w:r>
      <w:r w:rsidRPr="00A85C01">
        <w:rPr>
          <w:rFonts w:ascii="Times New Roman" w:hAnsi="Times New Roman" w:cs="Times New Roman"/>
        </w:rPr>
        <w:fldChar w:fldCharType="begin" w:fldLock="1"/>
      </w:r>
      <w:r w:rsidRPr="00A85C01">
        <w:rPr>
          <w:rFonts w:ascii="Times New Roman" w:hAnsi="Times New Roman" w:cs="Times New Roman"/>
        </w:rPr>
        <w:instrText>ADDIN CSL_CITATION {"citationItems":[{"id":"ITEM-1","itemData":{"author":[{"dropping-particle":"","family":"Jalaluddin al-Mahalli dan Jalaluddin al-Suyuti","given":"","non-dropping-particle":"","parse-names":false,"suffix":""}],"id":"ITEM-1","issued":{"date-parts":[["2005"]]},"publisher":"(Tafsir al-Jalalayn, Dar al-Ma’rifah, 2005, Juz 1, hlm. 12","title":"Tafsir al-Jalalayn, juz I, h 12","type":"book"},"uris":["http://www.mendeley.com/documents/?uuid=94e8183d-1d95-44db-9460-42fa886d4b68"]}],"mendeley":{"formattedCitation":"Jalaluddin al-Mahalli dan Jalaluddin al-Suyuti, &lt;i&gt;Tafsir Al-Jalalayn, Juz I, h 12&lt;/i&gt; ((Tafsir al-Jalalayn, Dar al-Ma’rifah, 2005, Juz 1, hlm. 12, 2005).","plainTextFormattedCitation":"Jalaluddin al-Mahalli dan Jalaluddin al-Suyuti, Tafsir Al-Jalalayn, Juz I, h 12 ((Tafsir al-Jalalayn, Dar al-Ma’rifah, 2005, Juz 1, hlm. 12, 2005).","previouslyFormattedCitation":"Jalaluddin al-Mahalli dan Jalaluddin al-Suyuti, &lt;i&gt;Tafsir Al-Jalalayn, Juz I, h 12&lt;/i&gt; ((Tafsir al-Jalalayn, Dar al-Ma’rifah, 2005, Juz 1, hlm. 12, 2005)."},"properties":{"noteIndex":25},"schema":"https://github.com/citation-style-language/schema/raw/master/csl-citation.json"}</w:instrText>
      </w:r>
      <w:r w:rsidRPr="00A85C01">
        <w:rPr>
          <w:rFonts w:ascii="Times New Roman" w:hAnsi="Times New Roman" w:cs="Times New Roman"/>
        </w:rPr>
        <w:fldChar w:fldCharType="separate"/>
      </w:r>
      <w:r w:rsidRPr="00A85C01">
        <w:rPr>
          <w:rFonts w:ascii="Times New Roman" w:hAnsi="Times New Roman" w:cs="Times New Roman"/>
          <w:noProof/>
        </w:rPr>
        <w:t xml:space="preserve">Jalaluddin al-Mahalli dan Jalaluddin al-Suyuti, </w:t>
      </w:r>
      <w:r w:rsidRPr="00A85C01">
        <w:rPr>
          <w:rFonts w:ascii="Times New Roman" w:hAnsi="Times New Roman" w:cs="Times New Roman"/>
          <w:i/>
          <w:noProof/>
        </w:rPr>
        <w:t>Tafsir Al-Jalalayn, Juz I, h 12</w:t>
      </w:r>
      <w:r w:rsidRPr="00A85C01">
        <w:rPr>
          <w:rFonts w:ascii="Times New Roman" w:hAnsi="Times New Roman" w:cs="Times New Roman"/>
          <w:noProof/>
        </w:rPr>
        <w:t xml:space="preserve"> ((Tafsir al-Jalalayn, Dar al-Ma’rifah, 2005, Juz 1, hlm. 12, 2005).</w:t>
      </w:r>
      <w:r w:rsidRPr="00A85C01">
        <w:rPr>
          <w:rFonts w:ascii="Times New Roman" w:hAnsi="Times New Roman" w:cs="Times New Roman"/>
        </w:rPr>
        <w:fldChar w:fldCharType="end"/>
      </w:r>
    </w:p>
  </w:footnote>
  <w:footnote w:id="23">
    <w:p w:rsidR="00691E36" w:rsidRPr="00A85C01" w:rsidRDefault="00691E36" w:rsidP="003642C6">
      <w:pPr>
        <w:pStyle w:val="FootnoteText"/>
        <w:ind w:firstLine="720"/>
        <w:jc w:val="both"/>
        <w:rPr>
          <w:rFonts w:ascii="Times New Roman" w:hAnsi="Times New Roman" w:cs="Times New Roman"/>
        </w:rPr>
      </w:pPr>
      <w:r w:rsidRPr="00A85C01">
        <w:rPr>
          <w:rStyle w:val="FootnoteReference"/>
          <w:rFonts w:ascii="Times New Roman" w:hAnsi="Times New Roman" w:cs="Times New Roman"/>
        </w:rPr>
        <w:footnoteRef/>
      </w:r>
      <w:r w:rsidRPr="00A85C01">
        <w:rPr>
          <w:rFonts w:ascii="Times New Roman" w:hAnsi="Times New Roman" w:cs="Times New Roman"/>
        </w:rPr>
        <w:t xml:space="preserve"> </w:t>
      </w:r>
      <w:r w:rsidRPr="00A85C01">
        <w:rPr>
          <w:rFonts w:ascii="Times New Roman" w:hAnsi="Times New Roman" w:cs="Times New Roman"/>
        </w:rPr>
        <w:fldChar w:fldCharType="begin" w:fldLock="1"/>
      </w:r>
      <w:r w:rsidRPr="00A85C01">
        <w:rPr>
          <w:rFonts w:ascii="Times New Roman" w:hAnsi="Times New Roman" w:cs="Times New Roman"/>
        </w:rPr>
        <w:instrText>ADDIN CSL_CITATION {"citationItems":[{"id":"ITEM-1","itemData":{"author":[{"dropping-particle":"","family":"Ibn Tayymiyah","given":"","non-dropping-particle":"","parse-names":false,"suffix":""}],"id":"ITEM-1","issued":{"date-parts":[["2004"]]},"publisher":"Ibn Taymiyyah, Muqaddimah Tafsir, Dar al-Kutub al-‘Ilmiyyah, 2004, hlm. 78-80).","title":"Muqaddimah Tafsir, h 78-80","type":"book"},"uris":["http://www.mendeley.com/documents/?uuid=7afc7e1e-a13d-4907-8916-a8975638a825"]}],"mendeley":{"formattedCitation":"Ibn Tayymiyah, &lt;i&gt;Muqaddimah Tafsir, h 78-80&lt;/i&gt; (Ibn Taymiyyah, Muqaddimah Tafsir, Dar al-Kutub al-‘Ilmiyyah, 2004, hlm. 78-80)., 2004).","plainTextFormattedCitation":"Ibn Tayymiyah, Muqaddimah Tafsir, h 78-80 (Ibn Taymiyyah, Muqaddimah Tafsir, Dar al-Kutub al-‘Ilmiyyah, 2004, hlm. 78-80)., 2004).","previouslyFormattedCitation":"Ibn Tayymiyah, &lt;i&gt;Muqaddimah Tafsir, h 78-80&lt;/i&gt; (Ibn Taymiyyah, Muqaddimah Tafsir, Dar al-Kutub al-‘Ilmiyyah, 2004, hlm. 78-80)., 2004)."},"properties":{"noteIndex":26},"schema":"https://github.com/citation-style-language/schema/raw/master/csl-citation.json"}</w:instrText>
      </w:r>
      <w:r w:rsidRPr="00A85C01">
        <w:rPr>
          <w:rFonts w:ascii="Times New Roman" w:hAnsi="Times New Roman" w:cs="Times New Roman"/>
        </w:rPr>
        <w:fldChar w:fldCharType="separate"/>
      </w:r>
      <w:r w:rsidRPr="00A85C01">
        <w:rPr>
          <w:rFonts w:ascii="Times New Roman" w:hAnsi="Times New Roman" w:cs="Times New Roman"/>
          <w:noProof/>
        </w:rPr>
        <w:t xml:space="preserve">Ibn Tayymiyah, </w:t>
      </w:r>
      <w:r w:rsidRPr="00A85C01">
        <w:rPr>
          <w:rFonts w:ascii="Times New Roman" w:hAnsi="Times New Roman" w:cs="Times New Roman"/>
          <w:i/>
          <w:noProof/>
        </w:rPr>
        <w:t>Muqaddimah Tafsir, h 78-80</w:t>
      </w:r>
      <w:r w:rsidRPr="00A85C01">
        <w:rPr>
          <w:rFonts w:ascii="Times New Roman" w:hAnsi="Times New Roman" w:cs="Times New Roman"/>
          <w:noProof/>
        </w:rPr>
        <w:t xml:space="preserve"> (Ibn Taymiyyah, Muqaddimah Tafsir, Dar al-Kutub al-‘Ilmiyyah, 2004, hlm. 78-80)., 2004).</w:t>
      </w:r>
      <w:r w:rsidRPr="00A85C01">
        <w:rPr>
          <w:rFonts w:ascii="Times New Roman" w:hAnsi="Times New Roman" w:cs="Times New Roman"/>
        </w:rPr>
        <w:fldChar w:fldCharType="end"/>
      </w:r>
    </w:p>
  </w:footnote>
  <w:footnote w:id="24">
    <w:p w:rsidR="00691E36" w:rsidRPr="00A85C01" w:rsidRDefault="00691E36" w:rsidP="003642C6">
      <w:pPr>
        <w:pStyle w:val="FootnoteText"/>
        <w:ind w:firstLine="720"/>
        <w:jc w:val="both"/>
        <w:rPr>
          <w:rFonts w:ascii="Times New Roman" w:hAnsi="Times New Roman" w:cs="Times New Roman"/>
        </w:rPr>
      </w:pPr>
      <w:r w:rsidRPr="00A85C01">
        <w:rPr>
          <w:rStyle w:val="FootnoteReference"/>
          <w:rFonts w:ascii="Times New Roman" w:hAnsi="Times New Roman" w:cs="Times New Roman"/>
        </w:rPr>
        <w:footnoteRef/>
      </w:r>
      <w:r w:rsidRPr="00A85C01">
        <w:rPr>
          <w:rFonts w:ascii="Times New Roman" w:hAnsi="Times New Roman" w:cs="Times New Roman"/>
        </w:rPr>
        <w:t xml:space="preserve"> </w:t>
      </w:r>
      <w:r w:rsidRPr="00A85C01">
        <w:rPr>
          <w:rFonts w:ascii="Times New Roman" w:hAnsi="Times New Roman" w:cs="Times New Roman"/>
        </w:rPr>
        <w:fldChar w:fldCharType="begin" w:fldLock="1"/>
      </w:r>
      <w:r w:rsidRPr="00A85C01">
        <w:rPr>
          <w:rFonts w:ascii="Times New Roman" w:hAnsi="Times New Roman" w:cs="Times New Roman"/>
        </w:rPr>
        <w:instrText>ADDIN CSL_CITATION {"citationItems":[{"id":"ITEM-1","itemData":{"DOI":"https://journal.iainlangsa.ac.id/index.php/at/article/view/235","abstract":"The fundamental problem in Islamic law (Maqasid al-Syari’ah) is how the goal of Islamic law can be useful for justice and bring benefit for all levels of society. However, the effort to bring justice in law is a dinamic and long time process. Through system approach, Jasser Auda tries develops a new frame of mind for the development of Islamic law in this era. There are six concepts of Auda system approach; Cognition, Wholeness, Opennes, Interrelated- Hierarchy, Multidimensionality and Purposefulness. This article discuss about those six concepts and the implementation in Isamic law. Keywords: Maqasid al-Syari’ah, a system approach","author":[{"dropping-particle":"","family":"Prihantoro","given":"Syukur","non-dropping-particle":"","parse-names":false,"suffix":""}],"container-title":"Jurnal At-Tafkir","id":"ITEM-1","issue":"1","issued":{"date-parts":[["2017"]]},"page":"120-134","title":"Maqasid Al-Syari’ah dalam Pandangan Jasser Auda (Sebuah Upaya Rekontruksi Hukum Islam Melalui Pendekatan Sistem)","type":"article-journal","volume":"10"},"uris":["http://www.mendeley.com/documents/?uuid=6ff90ded-7548-4089-a198-2e31426d1e56"]}],"mendeley":{"formattedCitation":"Syukur Prihantoro, “Maqasid Al-Syari’ah Dalam Pandangan Jasser Auda (Sebuah Upaya Rekontruksi Hukum Islam Melalui Pendekatan Sistem),” &lt;i&gt;Jurnal At-Tafkir&lt;/i&gt; 10, no. 1 (2017): 120–34, https://doi.org/https://journal.iainlangsa.ac.id/index.php/at/article/view/235.","plainTextFormattedCitation":"Syukur Prihantoro, “Maqasid Al-Syari’ah Dalam Pandangan Jasser Auda (Sebuah Upaya Rekontruksi Hukum Islam Melalui Pendekatan Sistem),” Jurnal At-Tafkir 10, no. 1 (2017): 120–34, https://doi.org/https://journal.iainlangsa.ac.id/index.php/at/article/view/235.","previouslyFormattedCitation":"Syukur Prihantoro, “Maqasid Al-Syari’ah Dalam Pandangan Jasser Auda (Sebuah Upaya Rekontruksi Hukum Islam Melalui Pendekatan Sistem),” &lt;i&gt;Jurnal At-Tafkir&lt;/i&gt; 10, no. 1 (2017): 120–34, https://doi.org/https://journal.iainlangsa.ac.id/index.php/at/article/view/235."},"properties":{"noteIndex":27},"schema":"https://github.com/citation-style-language/schema/raw/master/csl-citation.json"}</w:instrText>
      </w:r>
      <w:r w:rsidRPr="00A85C01">
        <w:rPr>
          <w:rFonts w:ascii="Times New Roman" w:hAnsi="Times New Roman" w:cs="Times New Roman"/>
        </w:rPr>
        <w:fldChar w:fldCharType="separate"/>
      </w:r>
      <w:r w:rsidRPr="00A85C01">
        <w:rPr>
          <w:rFonts w:ascii="Times New Roman" w:hAnsi="Times New Roman" w:cs="Times New Roman"/>
          <w:noProof/>
        </w:rPr>
        <w:t xml:space="preserve">Syukur Prihantoro, “Maqasid Al-Syari’ah Dalam Pandangan Jasser Auda (Sebuah Upaya Rekontruksi Hukum Islam Melalui Pendekatan Sistem),” </w:t>
      </w:r>
      <w:r w:rsidRPr="00A85C01">
        <w:rPr>
          <w:rFonts w:ascii="Times New Roman" w:hAnsi="Times New Roman" w:cs="Times New Roman"/>
          <w:i/>
          <w:noProof/>
        </w:rPr>
        <w:t>Jurnal At-Tafkir</w:t>
      </w:r>
      <w:r w:rsidRPr="00A85C01">
        <w:rPr>
          <w:rFonts w:ascii="Times New Roman" w:hAnsi="Times New Roman" w:cs="Times New Roman"/>
          <w:noProof/>
        </w:rPr>
        <w:t xml:space="preserve"> 10, no. 1 (2017): 120–34, https://doi.org/https://journal.iainlangsa.ac.id/index.php/at/article/view/235.</w:t>
      </w:r>
      <w:r w:rsidRPr="00A85C01">
        <w:rPr>
          <w:rFonts w:ascii="Times New Roman" w:hAnsi="Times New Roman" w:cs="Times New Roman"/>
        </w:rPr>
        <w:fldChar w:fldCharType="end"/>
      </w:r>
    </w:p>
  </w:footnote>
  <w:footnote w:id="25">
    <w:p w:rsidR="00691E36" w:rsidRPr="00A85C01" w:rsidRDefault="00691E36" w:rsidP="003642C6">
      <w:pPr>
        <w:pStyle w:val="FootnoteText"/>
        <w:ind w:firstLine="720"/>
        <w:jc w:val="both"/>
        <w:rPr>
          <w:rFonts w:ascii="Times New Roman" w:hAnsi="Times New Roman" w:cs="Times New Roman"/>
        </w:rPr>
      </w:pPr>
      <w:r w:rsidRPr="00A85C01">
        <w:rPr>
          <w:rStyle w:val="FootnoteReference"/>
          <w:rFonts w:ascii="Times New Roman" w:hAnsi="Times New Roman" w:cs="Times New Roman"/>
        </w:rPr>
        <w:footnoteRef/>
      </w:r>
      <w:r w:rsidRPr="00A85C01">
        <w:rPr>
          <w:rFonts w:ascii="Times New Roman" w:hAnsi="Times New Roman" w:cs="Times New Roman"/>
        </w:rPr>
        <w:t xml:space="preserve"> </w:t>
      </w:r>
      <w:r w:rsidRPr="00A85C01">
        <w:rPr>
          <w:rFonts w:ascii="Times New Roman" w:hAnsi="Times New Roman" w:cs="Times New Roman"/>
        </w:rPr>
        <w:fldChar w:fldCharType="begin" w:fldLock="1"/>
      </w:r>
      <w:r w:rsidRPr="00A85C01">
        <w:rPr>
          <w:rFonts w:ascii="Times New Roman" w:hAnsi="Times New Roman" w:cs="Times New Roman"/>
        </w:rPr>
        <w:instrText>ADDIN CSL_CITATION {"citationItems":[{"id":"ITEM-1","itemData":{"author":[{"dropping-particle":"","family":"Ibn Tayymiyah","given":"","non-dropping-particle":"","parse-names":false,"suffix":""}],"id":"ITEM-1","issued":{"date-parts":[["2004"]]},"publisher":"Ibn Taymiyyah, Muqaddimah Tafsir, Dar al-Kutub al-‘Ilmiyyah, 2004, hlm. 78-80).","title":"Muqaddimah Tafsir, h 78-80","type":"book"},"uris":["http://www.mendeley.com/documents/?uuid=7afc7e1e-a13d-4907-8916-a8975638a825"]}],"mendeley":{"formattedCitation":"Ibn Tayymiyah, &lt;i&gt;Muqaddimah Tafsir, h 78-80&lt;/i&gt;.","plainTextFormattedCitation":"Ibn Tayymiyah, Muqaddimah Tafsir, h 78-80.","previouslyFormattedCitation":"Ibn Tayymiyah, &lt;i&gt;Muqaddimah Tafsir, h 78-80&lt;/i&gt;."},"properties":{"noteIndex":28},"schema":"https://github.com/citation-style-language/schema/raw/master/csl-citation.json"}</w:instrText>
      </w:r>
      <w:r w:rsidRPr="00A85C01">
        <w:rPr>
          <w:rFonts w:ascii="Times New Roman" w:hAnsi="Times New Roman" w:cs="Times New Roman"/>
        </w:rPr>
        <w:fldChar w:fldCharType="separate"/>
      </w:r>
      <w:r w:rsidRPr="00A85C01">
        <w:rPr>
          <w:rFonts w:ascii="Times New Roman" w:hAnsi="Times New Roman" w:cs="Times New Roman"/>
          <w:noProof/>
        </w:rPr>
        <w:t xml:space="preserve">Ibn Tayymiyah, </w:t>
      </w:r>
      <w:r w:rsidRPr="00A85C01">
        <w:rPr>
          <w:rFonts w:ascii="Times New Roman" w:hAnsi="Times New Roman" w:cs="Times New Roman"/>
          <w:i/>
          <w:noProof/>
        </w:rPr>
        <w:t>Muqaddimah Tafsir, h 78-80</w:t>
      </w:r>
      <w:r w:rsidRPr="00A85C01">
        <w:rPr>
          <w:rFonts w:ascii="Times New Roman" w:hAnsi="Times New Roman" w:cs="Times New Roman"/>
          <w:noProof/>
        </w:rPr>
        <w:t>.</w:t>
      </w:r>
      <w:r w:rsidRPr="00A85C01">
        <w:rPr>
          <w:rFonts w:ascii="Times New Roman" w:hAnsi="Times New Roman" w:cs="Times New Roman"/>
        </w:rPr>
        <w:fldChar w:fldCharType="end"/>
      </w:r>
    </w:p>
  </w:footnote>
  <w:footnote w:id="26">
    <w:p w:rsidR="00DD7DA5" w:rsidRPr="00A85C01" w:rsidRDefault="00DD7DA5" w:rsidP="003642C6">
      <w:pPr>
        <w:pStyle w:val="FootnoteText"/>
        <w:ind w:firstLine="720"/>
        <w:jc w:val="both"/>
        <w:rPr>
          <w:rFonts w:ascii="Times New Roman" w:hAnsi="Times New Roman" w:cs="Times New Roman"/>
        </w:rPr>
      </w:pPr>
      <w:r w:rsidRPr="00A85C01">
        <w:rPr>
          <w:rStyle w:val="FootnoteReference"/>
          <w:rFonts w:ascii="Times New Roman" w:hAnsi="Times New Roman" w:cs="Times New Roman"/>
        </w:rPr>
        <w:footnoteRef/>
      </w:r>
      <w:r w:rsidRPr="00A85C01">
        <w:rPr>
          <w:rFonts w:ascii="Times New Roman" w:hAnsi="Times New Roman" w:cs="Times New Roman"/>
        </w:rPr>
        <w:t xml:space="preserve"> </w:t>
      </w:r>
      <w:r w:rsidRPr="00A85C01">
        <w:rPr>
          <w:rFonts w:ascii="Times New Roman" w:hAnsi="Times New Roman" w:cs="Times New Roman"/>
        </w:rPr>
        <w:fldChar w:fldCharType="begin" w:fldLock="1"/>
      </w:r>
      <w:r w:rsidRPr="00A85C01">
        <w:rPr>
          <w:rFonts w:ascii="Times New Roman" w:hAnsi="Times New Roman" w:cs="Times New Roman"/>
        </w:rPr>
        <w:instrText>ADDIN CSL_CITATION {"citationItems":[{"id":"ITEM-1","itemData":{"author":[{"dropping-particle":"","family":"Fazlur Rahman","given":"","non-dropping-particle":"","parse-names":false,"suffix":""}],"id":"ITEM-1","issued":{"date-parts":[["1982"]]},"publisher":"(Rahman, Islam and Modernity, University of Chicago Press, 1982, hlm. 6).","title":"Islam and Modernity, h 6","type":"book"},"uris":["http://www.mendeley.com/documents/?uuid=c36c4fd3-5e1f-4ac2-8468-86a6cf0d8ed6"]}],"mendeley":{"formattedCitation":"Fazlur Rahman, &lt;i&gt;Islam and Modernity, h 6&lt;/i&gt; ((Rahman, Islam and Modernity, University of Chicago Press, 1982, hlm. 6)., 1982).","plainTextFormattedCitation":"Fazlur Rahman, Islam and Modernity, h 6 ((Rahman, Islam and Modernity, University of Chicago Press, 1982, hlm. 6)., 1982).","previouslyFormattedCitation":"Fazlur Rahman, &lt;i&gt;Islam and Modernity, h 6&lt;/i&gt; ((Rahman, Islam and Modernity, University of Chicago Press, 1982, hlm. 6)., 1982)."},"properties":{"noteIndex":30},"schema":"https://github.com/citation-style-language/schema/raw/master/csl-citation.json"}</w:instrText>
      </w:r>
      <w:r w:rsidRPr="00A85C01">
        <w:rPr>
          <w:rFonts w:ascii="Times New Roman" w:hAnsi="Times New Roman" w:cs="Times New Roman"/>
        </w:rPr>
        <w:fldChar w:fldCharType="separate"/>
      </w:r>
      <w:r w:rsidRPr="00A85C01">
        <w:rPr>
          <w:rFonts w:ascii="Times New Roman" w:hAnsi="Times New Roman" w:cs="Times New Roman"/>
          <w:noProof/>
        </w:rPr>
        <w:t xml:space="preserve">Fazlur Rahman, </w:t>
      </w:r>
      <w:r w:rsidRPr="00A85C01">
        <w:rPr>
          <w:rFonts w:ascii="Times New Roman" w:hAnsi="Times New Roman" w:cs="Times New Roman"/>
          <w:i/>
          <w:noProof/>
        </w:rPr>
        <w:t>Islam and Modernity, h 6</w:t>
      </w:r>
      <w:r w:rsidRPr="00A85C01">
        <w:rPr>
          <w:rFonts w:ascii="Times New Roman" w:hAnsi="Times New Roman" w:cs="Times New Roman"/>
          <w:noProof/>
        </w:rPr>
        <w:t xml:space="preserve"> ((Rahman, Islam and Modernity, University of Chicago Press, 1982, hlm. 6)., 1982).</w:t>
      </w:r>
      <w:r w:rsidRPr="00A85C01">
        <w:rPr>
          <w:rFonts w:ascii="Times New Roman" w:hAnsi="Times New Roman" w:cs="Times New Roman"/>
        </w:rPr>
        <w:fldChar w:fldCharType="end"/>
      </w:r>
    </w:p>
  </w:footnote>
  <w:footnote w:id="27">
    <w:p w:rsidR="00DD7DA5" w:rsidRPr="00A85C01" w:rsidRDefault="00DD7DA5" w:rsidP="003642C6">
      <w:pPr>
        <w:pStyle w:val="FootnoteText"/>
        <w:ind w:firstLine="720"/>
        <w:jc w:val="both"/>
        <w:rPr>
          <w:rFonts w:ascii="Times New Roman" w:hAnsi="Times New Roman" w:cs="Times New Roman"/>
        </w:rPr>
      </w:pPr>
      <w:r w:rsidRPr="00A85C01">
        <w:rPr>
          <w:rStyle w:val="FootnoteReference"/>
          <w:rFonts w:ascii="Times New Roman" w:hAnsi="Times New Roman" w:cs="Times New Roman"/>
        </w:rPr>
        <w:footnoteRef/>
      </w:r>
      <w:r w:rsidRPr="00A85C01">
        <w:rPr>
          <w:rFonts w:ascii="Times New Roman" w:hAnsi="Times New Roman" w:cs="Times New Roman"/>
        </w:rPr>
        <w:t xml:space="preserve"> </w:t>
      </w:r>
      <w:r w:rsidRPr="00A85C01">
        <w:rPr>
          <w:rFonts w:ascii="Times New Roman" w:hAnsi="Times New Roman" w:cs="Times New Roman"/>
        </w:rPr>
        <w:fldChar w:fldCharType="begin" w:fldLock="1"/>
      </w:r>
      <w:r w:rsidR="00C63F36" w:rsidRPr="00A85C01">
        <w:rPr>
          <w:rFonts w:ascii="Times New Roman" w:hAnsi="Times New Roman" w:cs="Times New Roman"/>
        </w:rPr>
        <w:instrText>ADDIN CSL_CITATION {"citationItems":[{"id":"ITEM-1","itemData":{"author":[{"dropping-particle":"","family":"Nasr Hamid Abu Zayd","given":"","non-dropping-particle":"","parse-names":false,"suffix":""}],"id":"ITEM-1","issued":{"date-parts":[["1997"]]},"publisher":"Abu Zayd, Al-Nash wa al-Sultan, al-Markaz al-Thaqafi al-Arabi, 1997, hlm. 45-46).","title":"Al-Nash wa al-Sultan, h 45-46","type":"book"},"uris":["http://www.mendeley.com/documents/?uuid=a9be5996-02f6-4738-800c-b60ec3ea6c6c"]}],"mendeley":{"formattedCitation":"Nasr Hamid Abu Zayd, &lt;i&gt;Al-Nash Wa Al-Sultan, h 45-46&lt;/i&gt; (Abu Zayd, Al-Nash wa al-Sultan, al-Markaz al-Thaqafi al-Arabi, 1997, hlm. 45-46)., 1997).","plainTextFormattedCitation":"Nasr Hamid Abu Zayd, Al-Nash Wa Al-Sultan, h 45-46 (Abu Zayd, Al-Nash wa al-Sultan, al-Markaz al-Thaqafi al-Arabi, 1997, hlm. 45-46)., 1997).","previouslyFormattedCitation":"Nasr Hamid Abu Zayd, &lt;i&gt;Al-Nash Wa Al-Sultan, h 45-46&lt;/i&gt; (Abu Zayd, Al-Nash wa al-Sultan, al-Markaz al-Thaqafi al-Arabi, 1997, hlm. 45-46)., 1997)."},"properties":{"noteIndex":31},"schema":"https://github.com/citation-style-language/schema/raw/master/csl-citation.json"}</w:instrText>
      </w:r>
      <w:r w:rsidRPr="00A85C01">
        <w:rPr>
          <w:rFonts w:ascii="Times New Roman" w:hAnsi="Times New Roman" w:cs="Times New Roman"/>
        </w:rPr>
        <w:fldChar w:fldCharType="separate"/>
      </w:r>
      <w:r w:rsidRPr="00A85C01">
        <w:rPr>
          <w:rFonts w:ascii="Times New Roman" w:hAnsi="Times New Roman" w:cs="Times New Roman"/>
          <w:noProof/>
        </w:rPr>
        <w:t xml:space="preserve">Nasr Hamid Abu Zayd, </w:t>
      </w:r>
      <w:r w:rsidRPr="00A85C01">
        <w:rPr>
          <w:rFonts w:ascii="Times New Roman" w:hAnsi="Times New Roman" w:cs="Times New Roman"/>
          <w:i/>
          <w:noProof/>
        </w:rPr>
        <w:t>Al-Nash Wa Al-Sultan, h 45-46</w:t>
      </w:r>
      <w:r w:rsidRPr="00A85C01">
        <w:rPr>
          <w:rFonts w:ascii="Times New Roman" w:hAnsi="Times New Roman" w:cs="Times New Roman"/>
          <w:noProof/>
        </w:rPr>
        <w:t xml:space="preserve"> (Abu Zayd, Al-Nash wa al-Sultan, al-Markaz al-Thaqafi al-Arabi, 1997, hlm. 45-46)., 1997).</w:t>
      </w:r>
      <w:r w:rsidRPr="00A85C01">
        <w:rPr>
          <w:rFonts w:ascii="Times New Roman" w:hAnsi="Times New Roman" w:cs="Times New Roman"/>
        </w:rPr>
        <w:fldChar w:fldCharType="end"/>
      </w:r>
    </w:p>
  </w:footnote>
  <w:footnote w:id="28">
    <w:p w:rsidR="00DD7DA5" w:rsidRPr="00A85C01" w:rsidRDefault="00DD7DA5" w:rsidP="003642C6">
      <w:pPr>
        <w:pStyle w:val="FootnoteText"/>
        <w:ind w:firstLine="720"/>
        <w:jc w:val="both"/>
        <w:rPr>
          <w:rFonts w:ascii="Times New Roman" w:hAnsi="Times New Roman" w:cs="Times New Roman"/>
        </w:rPr>
      </w:pPr>
      <w:r w:rsidRPr="00A85C01">
        <w:rPr>
          <w:rStyle w:val="FootnoteReference"/>
          <w:rFonts w:ascii="Times New Roman" w:hAnsi="Times New Roman" w:cs="Times New Roman"/>
        </w:rPr>
        <w:footnoteRef/>
      </w:r>
      <w:r w:rsidRPr="00A85C01">
        <w:rPr>
          <w:rFonts w:ascii="Times New Roman" w:hAnsi="Times New Roman" w:cs="Times New Roman"/>
        </w:rPr>
        <w:t xml:space="preserve"> </w:t>
      </w:r>
      <w:r w:rsidRPr="00A85C01">
        <w:rPr>
          <w:rFonts w:ascii="Times New Roman" w:hAnsi="Times New Roman" w:cs="Times New Roman"/>
        </w:rPr>
        <w:fldChar w:fldCharType="begin" w:fldLock="1"/>
      </w:r>
      <w:r w:rsidRPr="00A85C01">
        <w:rPr>
          <w:rFonts w:ascii="Times New Roman" w:hAnsi="Times New Roman" w:cs="Times New Roman"/>
        </w:rPr>
        <w:instrText>ADDIN CSL_CITATION {"citationItems":[{"id":"ITEM-1","itemData":{"DOI":"10.24235/sicee.v1i0.14569","author":[{"dropping-particle":"","family":"Ichsan","given":"Ahmad S","non-dropping-particle":"","parse-names":false,"suffix":""}],"container-title":"Sicee","id":"ITEM-1","issue":"0","issued":{"date-parts":[["2023"]]},"page":"171","title":"Contextualization of Fazlur Rahman's Thought Towards the Curriculum of Merdeka Belajar in Primary Education","type":"article-journal","volume":"1"},"uris":["http://www.mendeley.com/documents/?uuid=341b0374-9907-40e6-a426-5342fed78d13"]}],"mendeley":{"formattedCitation":"Ahmad S Ichsan, “Contextualization of Fazlur Rahman’s Thought Towards the Curriculum of Merdeka Belajar in Primary Education,” &lt;i&gt;Sicee&lt;/i&gt; 1, no. 0 (2023): 171, https://doi.org/10.24235/sicee.v1i0.14569.","plainTextFormattedCitation":"Ahmad S Ichsan, “Contextualization of Fazlur Rahman’s Thought Towards the Curriculum of Merdeka Belajar in Primary Education,” Sicee 1, no. 0 (2023): 171, https://doi.org/10.24235/sicee.v1i0.14569.","previouslyFormattedCitation":"Ahmad S Ichsan, “Contextualization of Fazlur Rahman’s Thought Towards the Curriculum of Merdeka Belajar in Primary Education,” &lt;i&gt;Sicee&lt;/i&gt; 1, no. 0 (2023): 171, https://doi.org/10.24235/sicee.v1i0.14569."},"properties":{"noteIndex":32},"schema":"https://github.com/citation-style-language/schema/raw/master/csl-citation.json"}</w:instrText>
      </w:r>
      <w:r w:rsidRPr="00A85C01">
        <w:rPr>
          <w:rFonts w:ascii="Times New Roman" w:hAnsi="Times New Roman" w:cs="Times New Roman"/>
        </w:rPr>
        <w:fldChar w:fldCharType="separate"/>
      </w:r>
      <w:r w:rsidRPr="00A85C01">
        <w:rPr>
          <w:rFonts w:ascii="Times New Roman" w:hAnsi="Times New Roman" w:cs="Times New Roman"/>
          <w:noProof/>
        </w:rPr>
        <w:t xml:space="preserve">Ahmad S Ichsan, “Contextualization of Fazlur Rahman’s Thought Towards the Curriculum of Merdeka Belajar in Primary Education,” </w:t>
      </w:r>
      <w:r w:rsidRPr="00A85C01">
        <w:rPr>
          <w:rFonts w:ascii="Times New Roman" w:hAnsi="Times New Roman" w:cs="Times New Roman"/>
          <w:i/>
          <w:noProof/>
        </w:rPr>
        <w:t>Sicee</w:t>
      </w:r>
      <w:r w:rsidRPr="00A85C01">
        <w:rPr>
          <w:rFonts w:ascii="Times New Roman" w:hAnsi="Times New Roman" w:cs="Times New Roman"/>
          <w:noProof/>
        </w:rPr>
        <w:t xml:space="preserve"> 1, no. 0 (2023): 171, https://doi.org/10.24235/sicee.v1i0.14569.</w:t>
      </w:r>
      <w:r w:rsidRPr="00A85C01">
        <w:rPr>
          <w:rFonts w:ascii="Times New Roman" w:hAnsi="Times New Roman" w:cs="Times New Roman"/>
        </w:rPr>
        <w:fldChar w:fldCharType="end"/>
      </w:r>
    </w:p>
  </w:footnote>
  <w:footnote w:id="29">
    <w:p w:rsidR="00DD7DA5" w:rsidRPr="00A85C01" w:rsidRDefault="00DD7DA5" w:rsidP="003642C6">
      <w:pPr>
        <w:pStyle w:val="FootnoteText"/>
        <w:ind w:firstLine="720"/>
        <w:jc w:val="both"/>
        <w:rPr>
          <w:rFonts w:ascii="Times New Roman" w:hAnsi="Times New Roman" w:cs="Times New Roman"/>
        </w:rPr>
      </w:pPr>
      <w:r w:rsidRPr="00A85C01">
        <w:rPr>
          <w:rStyle w:val="FootnoteReference"/>
          <w:rFonts w:ascii="Times New Roman" w:hAnsi="Times New Roman" w:cs="Times New Roman"/>
        </w:rPr>
        <w:footnoteRef/>
      </w:r>
      <w:r w:rsidRPr="00A85C01">
        <w:rPr>
          <w:rFonts w:ascii="Times New Roman" w:hAnsi="Times New Roman" w:cs="Times New Roman"/>
        </w:rPr>
        <w:t xml:space="preserve"> </w:t>
      </w:r>
      <w:r w:rsidRPr="00A85C01">
        <w:rPr>
          <w:rFonts w:ascii="Times New Roman" w:hAnsi="Times New Roman" w:cs="Times New Roman"/>
        </w:rPr>
        <w:fldChar w:fldCharType="begin" w:fldLock="1"/>
      </w:r>
      <w:r w:rsidRPr="00A85C01">
        <w:rPr>
          <w:rFonts w:ascii="Times New Roman" w:hAnsi="Times New Roman" w:cs="Times New Roman"/>
        </w:rPr>
        <w:instrText>ADDIN CSL_CITATION {"citationItems":[{"id":"ITEM-1","itemData":{"DOI":"10.1177/0191453720931912","author":[{"dropping-particle":"","family":"Akbar","given":"Ali","non-dropping-particle":"","parse-names":false,"suffix":""}],"container-title":"Philosophy &amp; Social Criticism","id":"ITEM-1","issue":"5","issued":{"date-parts":[["2020"]]},"page":"587-614","title":"Philosophical Hermeneutics and Contemporary Muslim Scholars’ Approaches to Interpreting Scripture","type":"article-journal","volume":"47"},"uris":["http://www.mendeley.com/documents/?uuid=fcf91d9f-92c8-4429-8df6-fa410e0eaf5d"]}],"mendeley":{"formattedCitation":"Ali Akbar, “Philosophical Hermeneutics and Contemporary Muslim Scholars’ Approaches to Interpreting Scripture,” &lt;i&gt;Philosophy &amp; Social Criticism&lt;/i&gt; 47, no. 5 (2020): 587–614, https://doi.org/10.1177/0191453720931912.","plainTextFormattedCitation":"Ali Akbar, “Philosophical Hermeneutics and Contemporary Muslim Scholars’ Approaches to Interpreting Scripture,” Philosophy &amp; Social Criticism 47, no. 5 (2020): 587–614, https://doi.org/10.1177/0191453720931912.","previouslyFormattedCitation":"Ali Akbar, “Philosophical Hermeneutics and Contemporary Muslim Scholars’ Approaches to Interpreting Scripture,” &lt;i&gt;Philosophy &amp; Social Criticism&lt;/i&gt; 47, no. 5 (2020): 587–614, https://doi.org/10.1177/0191453720931912."},"properties":{"noteIndex":33},"schema":"https://github.com/citation-style-language/schema/raw/master/csl-citation.json"}</w:instrText>
      </w:r>
      <w:r w:rsidRPr="00A85C01">
        <w:rPr>
          <w:rFonts w:ascii="Times New Roman" w:hAnsi="Times New Roman" w:cs="Times New Roman"/>
        </w:rPr>
        <w:fldChar w:fldCharType="separate"/>
      </w:r>
      <w:r w:rsidRPr="00A85C01">
        <w:rPr>
          <w:rFonts w:ascii="Times New Roman" w:hAnsi="Times New Roman" w:cs="Times New Roman"/>
          <w:noProof/>
        </w:rPr>
        <w:t xml:space="preserve">Ali Akbar, “Philosophical Hermeneutics and Contemporary Muslim Scholars’ Approaches to Interpreting Scripture,” </w:t>
      </w:r>
      <w:r w:rsidRPr="00A85C01">
        <w:rPr>
          <w:rFonts w:ascii="Times New Roman" w:hAnsi="Times New Roman" w:cs="Times New Roman"/>
          <w:i/>
          <w:noProof/>
        </w:rPr>
        <w:t>Philosophy &amp; Social Criticism</w:t>
      </w:r>
      <w:r w:rsidRPr="00A85C01">
        <w:rPr>
          <w:rFonts w:ascii="Times New Roman" w:hAnsi="Times New Roman" w:cs="Times New Roman"/>
          <w:noProof/>
        </w:rPr>
        <w:t xml:space="preserve"> 47, no. 5 (2020): 587–614, https://doi.org/10.1177/0191453720931912.</w:t>
      </w:r>
      <w:r w:rsidRPr="00A85C01">
        <w:rPr>
          <w:rFonts w:ascii="Times New Roman" w:hAnsi="Times New Roman" w:cs="Times New Roman"/>
        </w:rPr>
        <w:fldChar w:fldCharType="end"/>
      </w:r>
    </w:p>
  </w:footnote>
  <w:footnote w:id="30">
    <w:p w:rsidR="00C63F36" w:rsidRPr="00A85C01" w:rsidRDefault="00C63F36" w:rsidP="003642C6">
      <w:pPr>
        <w:pStyle w:val="FootnoteText"/>
        <w:ind w:firstLine="720"/>
        <w:jc w:val="both"/>
        <w:rPr>
          <w:rFonts w:ascii="Times New Roman" w:hAnsi="Times New Roman" w:cs="Times New Roman"/>
        </w:rPr>
      </w:pPr>
      <w:r w:rsidRPr="00A85C01">
        <w:rPr>
          <w:rStyle w:val="FootnoteReference"/>
          <w:rFonts w:ascii="Times New Roman" w:hAnsi="Times New Roman" w:cs="Times New Roman"/>
        </w:rPr>
        <w:footnoteRef/>
      </w:r>
      <w:r w:rsidRPr="00A85C01">
        <w:rPr>
          <w:rFonts w:ascii="Times New Roman" w:hAnsi="Times New Roman" w:cs="Times New Roman"/>
        </w:rPr>
        <w:t xml:space="preserve"> </w:t>
      </w:r>
      <w:r w:rsidRPr="00A85C01">
        <w:rPr>
          <w:rFonts w:ascii="Times New Roman" w:hAnsi="Times New Roman" w:cs="Times New Roman"/>
        </w:rPr>
        <w:fldChar w:fldCharType="begin" w:fldLock="1"/>
      </w:r>
      <w:r w:rsidRPr="00A85C01">
        <w:rPr>
          <w:rFonts w:ascii="Times New Roman" w:hAnsi="Times New Roman" w:cs="Times New Roman"/>
        </w:rPr>
        <w:instrText>ADDIN CSL_CITATION {"citationItems":[{"id":"ITEM-1","itemData":{"author":[{"dropping-particle":"","family":"Jassar Auda","given":"","non-dropping-particle":"","parse-names":false,"suffix":""}],"id":"ITEM-1","issued":{"date-parts":[["2008"]]},"publisher":"(Jasser Auda, Maqasid al-Shariah as Philosophy of Islamic Law, IIIT, 2008, hlm. 47).","title":"Maqasid al-Shariah as Philosophy of Islamic Law, 47","type":"book"},"uris":["http://www.mendeley.com/documents/?uuid=98c926e6-2f8c-4482-a294-7902c0661247"]}],"mendeley":{"formattedCitation":"Jassar Auda, &lt;i&gt;Maqasid Al-Shariah as Philosophy of Islamic Law, 47&lt;/i&gt; ((Jasser Auda, Maqasid al-Shariah as Philosophy of Islamic Law, IIIT, 2008, hlm. 47)., 2008).","plainTextFormattedCitation":"Jassar Auda, Maqasid Al-Shariah as Philosophy of Islamic Law, 47 ((Jasser Auda, Maqasid al-Shariah as Philosophy of Islamic Law, IIIT, 2008, hlm. 47)., 2008).","previouslyFormattedCitation":"Jassar Auda, &lt;i&gt;Maqasid Al-Shariah as Philosophy of Islamic Law, 47&lt;/i&gt; ((Jasser Auda, Maqasid al-Shariah as Philosophy of Islamic Law, IIIT, 2008, hlm. 47)., 2008)."},"properties":{"noteIndex":34},"schema":"https://github.com/citation-style-language/schema/raw/master/csl-citation.json"}</w:instrText>
      </w:r>
      <w:r w:rsidRPr="00A85C01">
        <w:rPr>
          <w:rFonts w:ascii="Times New Roman" w:hAnsi="Times New Roman" w:cs="Times New Roman"/>
        </w:rPr>
        <w:fldChar w:fldCharType="separate"/>
      </w:r>
      <w:r w:rsidRPr="00A85C01">
        <w:rPr>
          <w:rFonts w:ascii="Times New Roman" w:hAnsi="Times New Roman" w:cs="Times New Roman"/>
          <w:noProof/>
        </w:rPr>
        <w:t xml:space="preserve">Jassar Auda, </w:t>
      </w:r>
      <w:r w:rsidRPr="00A85C01">
        <w:rPr>
          <w:rFonts w:ascii="Times New Roman" w:hAnsi="Times New Roman" w:cs="Times New Roman"/>
          <w:i/>
          <w:noProof/>
        </w:rPr>
        <w:t>Maqasid Al-Shariah as Philosophy of Islamic Law, 47</w:t>
      </w:r>
      <w:r w:rsidRPr="00A85C01">
        <w:rPr>
          <w:rFonts w:ascii="Times New Roman" w:hAnsi="Times New Roman" w:cs="Times New Roman"/>
          <w:noProof/>
        </w:rPr>
        <w:t xml:space="preserve"> ((Jasser Auda, Maqasid al-Shariah as Philosophy of Islamic Law, IIIT, 2008, hlm. 47)., 2008).</w:t>
      </w:r>
      <w:r w:rsidRPr="00A85C01">
        <w:rPr>
          <w:rFonts w:ascii="Times New Roman" w:hAnsi="Times New Roman" w:cs="Times New Roman"/>
        </w:rPr>
        <w:fldChar w:fldCharType="end"/>
      </w:r>
    </w:p>
  </w:footnote>
  <w:footnote w:id="31">
    <w:p w:rsidR="00C63F36" w:rsidRPr="00A85C01" w:rsidRDefault="00C63F36" w:rsidP="003642C6">
      <w:pPr>
        <w:pStyle w:val="FootnoteText"/>
        <w:ind w:firstLine="720"/>
        <w:jc w:val="both"/>
        <w:rPr>
          <w:rFonts w:ascii="Times New Roman" w:hAnsi="Times New Roman" w:cs="Times New Roman"/>
        </w:rPr>
      </w:pPr>
      <w:r w:rsidRPr="00A85C01">
        <w:rPr>
          <w:rStyle w:val="FootnoteReference"/>
          <w:rFonts w:ascii="Times New Roman" w:hAnsi="Times New Roman" w:cs="Times New Roman"/>
        </w:rPr>
        <w:footnoteRef/>
      </w:r>
      <w:r w:rsidRPr="00A85C01">
        <w:rPr>
          <w:rFonts w:ascii="Times New Roman" w:hAnsi="Times New Roman" w:cs="Times New Roman"/>
        </w:rPr>
        <w:t xml:space="preserve"> </w:t>
      </w:r>
      <w:r w:rsidRPr="00A85C01">
        <w:rPr>
          <w:rFonts w:ascii="Times New Roman" w:hAnsi="Times New Roman" w:cs="Times New Roman"/>
        </w:rPr>
        <w:fldChar w:fldCharType="begin" w:fldLock="1"/>
      </w:r>
      <w:r w:rsidRPr="00A85C01">
        <w:rPr>
          <w:rFonts w:ascii="Times New Roman" w:hAnsi="Times New Roman" w:cs="Times New Roman"/>
        </w:rPr>
        <w:instrText>ADDIN CSL_CITATION {"citationItems":[{"id":"ITEM-1","itemData":{"author":[{"dropping-particle":"","family":"G.R. Hawting &amp; Abdul-Kader A. Shareef","given":"","non-dropping-particle":"","parse-names":false,"suffix":""}],"id":"ITEM-1","issued":{"date-parts":[["1993"]]},"publisher":"Hawting &amp; Shareef, Approaches to the Qur'an, Routledge, 1993, hlm. 120).","title":"Approaches to the Qur'an, h 120","type":"book"},"uris":["http://www.mendeley.com/documents/?uuid=765b6ead-9c22-4a60-bc3b-2466f1dbbeb4"]}],"mendeley":{"formattedCitation":"G.R. Hawting &amp; Abdul-Kader A. Shareef, &lt;i&gt;Approaches to the Qur’an, h 120&lt;/i&gt; (Hawting &amp; Shareef, Approaches to the Qur’an, Routledge, 1993, hlm. 120)., 1993).","plainTextFormattedCitation":"G.R. Hawting &amp; Abdul-Kader A. Shareef, Approaches to the Qur’an, h 120 (Hawting &amp; Shareef, Approaches to the Qur’an, Routledge, 1993, hlm. 120)., 1993).","previouslyFormattedCitation":"G.R. Hawting &amp; Abdul-Kader A. Shareef, &lt;i&gt;Approaches to the Qur’an, h 120&lt;/i&gt; (Hawting &amp; Shareef, Approaches to the Qur’an, Routledge, 1993, hlm. 120)., 1993)."},"properties":{"noteIndex":35},"schema":"https://github.com/citation-style-language/schema/raw/master/csl-citation.json"}</w:instrText>
      </w:r>
      <w:r w:rsidRPr="00A85C01">
        <w:rPr>
          <w:rFonts w:ascii="Times New Roman" w:hAnsi="Times New Roman" w:cs="Times New Roman"/>
        </w:rPr>
        <w:fldChar w:fldCharType="separate"/>
      </w:r>
      <w:r w:rsidRPr="00A85C01">
        <w:rPr>
          <w:rFonts w:ascii="Times New Roman" w:hAnsi="Times New Roman" w:cs="Times New Roman"/>
          <w:noProof/>
        </w:rPr>
        <w:t xml:space="preserve">G.R. Hawting &amp; Abdul-Kader A. Shareef, </w:t>
      </w:r>
      <w:r w:rsidRPr="00A85C01">
        <w:rPr>
          <w:rFonts w:ascii="Times New Roman" w:hAnsi="Times New Roman" w:cs="Times New Roman"/>
          <w:i/>
          <w:noProof/>
        </w:rPr>
        <w:t>Approaches to the Qur’an, h 120</w:t>
      </w:r>
      <w:r w:rsidRPr="00A85C01">
        <w:rPr>
          <w:rFonts w:ascii="Times New Roman" w:hAnsi="Times New Roman" w:cs="Times New Roman"/>
          <w:noProof/>
        </w:rPr>
        <w:t xml:space="preserve"> (Hawting &amp; Shareef, Approaches to the Qur’an, Routledge, 1993, hlm. 120)., 1993).</w:t>
      </w:r>
      <w:r w:rsidRPr="00A85C01">
        <w:rPr>
          <w:rFonts w:ascii="Times New Roman" w:hAnsi="Times New Roman" w:cs="Times New Roman"/>
        </w:rPr>
        <w:fldChar w:fldCharType="end"/>
      </w:r>
    </w:p>
  </w:footnote>
  <w:footnote w:id="32">
    <w:p w:rsidR="00C63F36" w:rsidRPr="00A85C01" w:rsidRDefault="00C63F36" w:rsidP="003642C6">
      <w:pPr>
        <w:pStyle w:val="FootnoteText"/>
        <w:ind w:firstLine="720"/>
        <w:jc w:val="both"/>
        <w:rPr>
          <w:rFonts w:ascii="Times New Roman" w:hAnsi="Times New Roman" w:cs="Times New Roman"/>
        </w:rPr>
      </w:pPr>
      <w:r w:rsidRPr="00A85C01">
        <w:rPr>
          <w:rStyle w:val="FootnoteReference"/>
          <w:rFonts w:ascii="Times New Roman" w:hAnsi="Times New Roman" w:cs="Times New Roman"/>
        </w:rPr>
        <w:footnoteRef/>
      </w:r>
      <w:r w:rsidRPr="00A85C01">
        <w:rPr>
          <w:rFonts w:ascii="Times New Roman" w:hAnsi="Times New Roman" w:cs="Times New Roman"/>
        </w:rPr>
        <w:t xml:space="preserve"> </w:t>
      </w:r>
      <w:r w:rsidRPr="00A85C01">
        <w:rPr>
          <w:rFonts w:ascii="Times New Roman" w:hAnsi="Times New Roman" w:cs="Times New Roman"/>
        </w:rPr>
        <w:fldChar w:fldCharType="begin" w:fldLock="1"/>
      </w:r>
      <w:r w:rsidRPr="00A85C01">
        <w:rPr>
          <w:rFonts w:ascii="Times New Roman" w:hAnsi="Times New Roman" w:cs="Times New Roman"/>
        </w:rPr>
        <w:instrText>ADDIN CSL_CITATION {"citationItems":[{"id":"ITEM-1","itemData":{"DOI":"10.18860/eh.v23i2.13414","author":[{"dropping-particle":"","family":"Mujahidin","given":"Anwar","non-dropping-particle":"","parse-names":false,"suffix":""}],"container-title":"El Harakah Jurnal Budaya Islam","id":"ITEM-1","issue":"2","issued":{"date-parts":[["2021"]]},"page":"239-255","title":"The Implication of Local Wisdom in Tafsir Al-Azhar on Moderate Islamic Thought by Hamka","type":"article-journal","volume":"23"},"uris":["http://www.mendeley.com/documents/?uuid=b56bbbcf-26dd-4393-b761-c3054d776708"]}],"mendeley":{"formattedCitation":"Anwar Mujahidin, “The Implication of Local Wisdom in Tafsir Al-Azhar on Moderate Islamic Thought by Hamka,” &lt;i&gt;El Harakah Jurnal Budaya Islam&lt;/i&gt; 23, no. 2 (2021): 239–55, https://doi.org/10.18860/eh.v23i2.13414.","plainTextFormattedCitation":"Anwar Mujahidin, “The Implication of Local Wisdom in Tafsir Al-Azhar on Moderate Islamic Thought by Hamka,” El Harakah Jurnal Budaya Islam 23, no. 2 (2021): 239–55, https://doi.org/10.18860/eh.v23i2.13414.","previouslyFormattedCitation":"Anwar Mujahidin, “The Implication of Local Wisdom in Tafsir Al-Azhar on Moderate Islamic Thought by Hamka,” &lt;i&gt;El Harakah Jurnal Budaya Islam&lt;/i&gt; 23, no. 2 (2021): 239–55, https://doi.org/10.18860/eh.v23i2.13414."},"properties":{"noteIndex":36},"schema":"https://github.com/citation-style-language/schema/raw/master/csl-citation.json"}</w:instrText>
      </w:r>
      <w:r w:rsidRPr="00A85C01">
        <w:rPr>
          <w:rFonts w:ascii="Times New Roman" w:hAnsi="Times New Roman" w:cs="Times New Roman"/>
        </w:rPr>
        <w:fldChar w:fldCharType="separate"/>
      </w:r>
      <w:r w:rsidRPr="00A85C01">
        <w:rPr>
          <w:rFonts w:ascii="Times New Roman" w:hAnsi="Times New Roman" w:cs="Times New Roman"/>
          <w:noProof/>
        </w:rPr>
        <w:t xml:space="preserve">Anwar Mujahidin, “The Implication of Local Wisdom in Tafsir Al-Azhar on Moderate Islamic Thought by Hamka,” </w:t>
      </w:r>
      <w:r w:rsidRPr="00A85C01">
        <w:rPr>
          <w:rFonts w:ascii="Times New Roman" w:hAnsi="Times New Roman" w:cs="Times New Roman"/>
          <w:i/>
          <w:noProof/>
        </w:rPr>
        <w:t>El Harakah Jurnal Budaya Islam</w:t>
      </w:r>
      <w:r w:rsidRPr="00A85C01">
        <w:rPr>
          <w:rFonts w:ascii="Times New Roman" w:hAnsi="Times New Roman" w:cs="Times New Roman"/>
          <w:noProof/>
        </w:rPr>
        <w:t xml:space="preserve"> 23, no. 2 (2021): 239–55, https://doi.org/10.18860/eh.v23i2.13414.</w:t>
      </w:r>
      <w:r w:rsidRPr="00A85C01">
        <w:rPr>
          <w:rFonts w:ascii="Times New Roman" w:hAnsi="Times New Roman" w:cs="Times New Roman"/>
        </w:rPr>
        <w:fldChar w:fldCharType="end"/>
      </w:r>
    </w:p>
  </w:footnote>
  <w:footnote w:id="33">
    <w:p w:rsidR="00C63F36" w:rsidRPr="00A85C01" w:rsidRDefault="00C63F36" w:rsidP="003642C6">
      <w:pPr>
        <w:pStyle w:val="FootnoteText"/>
        <w:ind w:firstLine="720"/>
        <w:jc w:val="both"/>
        <w:rPr>
          <w:rFonts w:ascii="Times New Roman" w:hAnsi="Times New Roman" w:cs="Times New Roman"/>
        </w:rPr>
      </w:pPr>
      <w:r w:rsidRPr="00A85C01">
        <w:rPr>
          <w:rStyle w:val="FootnoteReference"/>
          <w:rFonts w:ascii="Times New Roman" w:hAnsi="Times New Roman" w:cs="Times New Roman"/>
        </w:rPr>
        <w:footnoteRef/>
      </w:r>
      <w:r w:rsidRPr="00A85C01">
        <w:rPr>
          <w:rFonts w:ascii="Times New Roman" w:hAnsi="Times New Roman" w:cs="Times New Roman"/>
        </w:rPr>
        <w:t xml:space="preserve"> </w:t>
      </w:r>
      <w:r w:rsidRPr="00A85C01">
        <w:rPr>
          <w:rFonts w:ascii="Times New Roman" w:hAnsi="Times New Roman" w:cs="Times New Roman"/>
        </w:rPr>
        <w:fldChar w:fldCharType="begin" w:fldLock="1"/>
      </w:r>
      <w:r w:rsidRPr="00A85C01">
        <w:rPr>
          <w:rFonts w:ascii="Times New Roman" w:hAnsi="Times New Roman" w:cs="Times New Roman"/>
        </w:rPr>
        <w:instrText>ADDIN CSL_CITATION {"citationItems":[{"id":"ITEM-1","itemData":{"DOI":"10.51700/aliflam.v3i1.432","author":[{"dropping-particle":"","family":"Shomad","given":"Abdus","non-dropping-particle":"","parse-names":false,"suffix":""}],"container-title":"Jurnal Aliflam Journal of Islamic Studies and Humanities","id":"ITEM-1","issue":"1","issued":{"date-parts":[["2022"]]},"page":"1-21","title":"Otoritas Laki-Laki Dan Perempuan: Studi Penafsiran Kontekstual Abdullah Saeed Terhadap Qs. An-Nisa 4: 34","type":"article-journal","volume":"3"},"uris":["http://www.mendeley.com/documents/?uuid=f3358c24-c195-4d22-a4ab-21f60c3676e3"]}],"mendeley":{"formattedCitation":"Abdus Shomad, “Otoritas Laki-Laki Dan Perempuan: Studi Penafsiran Kontekstual Abdullah Saeed Terhadap Qs. An-Nisa 4: 34,” &lt;i&gt;Jurnal Aliflam Journal of Islamic Studies and Humanities&lt;/i&gt; 3, no. 1 (2022): 1–21, https://doi.org/10.51700/aliflam.v3i1.432.","plainTextFormattedCitation":"Abdus Shomad, “Otoritas Laki-Laki Dan Perempuan: Studi Penafsiran Kontekstual Abdullah Saeed Terhadap Qs. An-Nisa 4: 34,” Jurnal Aliflam Journal of Islamic Studies and Humanities 3, no. 1 (2022): 1–21, https://doi.org/10.51700/aliflam.v3i1.432.","previouslyFormattedCitation":"Abdus Shomad, “Otoritas Laki-Laki Dan Perempuan: Studi Penafsiran Kontekstual Abdullah Saeed Terhadap Qs. An-Nisa 4: 34,” &lt;i&gt;Jurnal Aliflam Journal of Islamic Studies and Humanities&lt;/i&gt; 3, no. 1 (2022): 1–21, https://doi.org/10.51700/aliflam.v3i1.432."},"properties":{"noteIndex":37},"schema":"https://github.com/citation-style-language/schema/raw/master/csl-citation.json"}</w:instrText>
      </w:r>
      <w:r w:rsidRPr="00A85C01">
        <w:rPr>
          <w:rFonts w:ascii="Times New Roman" w:hAnsi="Times New Roman" w:cs="Times New Roman"/>
        </w:rPr>
        <w:fldChar w:fldCharType="separate"/>
      </w:r>
      <w:r w:rsidRPr="00A85C01">
        <w:rPr>
          <w:rFonts w:ascii="Times New Roman" w:hAnsi="Times New Roman" w:cs="Times New Roman"/>
          <w:noProof/>
        </w:rPr>
        <w:t xml:space="preserve">Abdus Shomad, “Otoritas Laki-Laki Dan Perempuan: Studi Penafsiran Kontekstual Abdullah Saeed Terhadap Qs. An-Nisa 4: 34,” </w:t>
      </w:r>
      <w:r w:rsidRPr="00A85C01">
        <w:rPr>
          <w:rFonts w:ascii="Times New Roman" w:hAnsi="Times New Roman" w:cs="Times New Roman"/>
          <w:i/>
          <w:noProof/>
        </w:rPr>
        <w:t>Jurnal Aliflam Journal of Islamic Studies and Humanities</w:t>
      </w:r>
      <w:r w:rsidRPr="00A85C01">
        <w:rPr>
          <w:rFonts w:ascii="Times New Roman" w:hAnsi="Times New Roman" w:cs="Times New Roman"/>
          <w:noProof/>
        </w:rPr>
        <w:t xml:space="preserve"> 3, no. 1 (2022): 1–21, https://doi.org/10.51700/aliflam.v3i1.432.</w:t>
      </w:r>
      <w:r w:rsidRPr="00A85C01">
        <w:rPr>
          <w:rFonts w:ascii="Times New Roman" w:hAnsi="Times New Roman" w:cs="Times New Roman"/>
        </w:rPr>
        <w:fldChar w:fldCharType="end"/>
      </w:r>
    </w:p>
  </w:footnote>
  <w:footnote w:id="34">
    <w:p w:rsidR="00C63F36" w:rsidRPr="00A85C01" w:rsidRDefault="00C63F36" w:rsidP="003642C6">
      <w:pPr>
        <w:pStyle w:val="FootnoteText"/>
        <w:ind w:firstLine="720"/>
        <w:jc w:val="both"/>
        <w:rPr>
          <w:rFonts w:ascii="Times New Roman" w:hAnsi="Times New Roman" w:cs="Times New Roman"/>
        </w:rPr>
      </w:pPr>
      <w:r w:rsidRPr="00A85C01">
        <w:rPr>
          <w:rStyle w:val="FootnoteReference"/>
          <w:rFonts w:ascii="Times New Roman" w:hAnsi="Times New Roman" w:cs="Times New Roman"/>
        </w:rPr>
        <w:footnoteRef/>
      </w:r>
      <w:r w:rsidRPr="00A85C01">
        <w:rPr>
          <w:rFonts w:ascii="Times New Roman" w:hAnsi="Times New Roman" w:cs="Times New Roman"/>
        </w:rPr>
        <w:t xml:space="preserve"> </w:t>
      </w:r>
      <w:r w:rsidRPr="00A85C01">
        <w:rPr>
          <w:rFonts w:ascii="Times New Roman" w:hAnsi="Times New Roman" w:cs="Times New Roman"/>
        </w:rPr>
        <w:fldChar w:fldCharType="begin" w:fldLock="1"/>
      </w:r>
      <w:r w:rsidRPr="00A85C01">
        <w:rPr>
          <w:rFonts w:ascii="Times New Roman" w:hAnsi="Times New Roman" w:cs="Times New Roman"/>
        </w:rPr>
        <w:instrText>ADDIN CSL_CITATION {"citationItems":[{"id":"ITEM-1","itemData":{"DOI":"10.18860/eh.v23i2.13414","author":[{"dropping-particle":"","family":"Mujahidin","given":"Anwar","non-dropping-particle":"","parse-names":false,"suffix":""}],"container-title":"El Harakah Jurnal Budaya Islam","id":"ITEM-1","issue":"2","issued":{"date-parts":[["2021"]]},"page":"239-255","title":"The Implication of Local Wisdom in Tafsir Al-Azhar on Moderate Islamic Thought by Hamka","type":"article-journal","volume":"23"},"uris":["http://www.mendeley.com/documents/?uuid=b56bbbcf-26dd-4393-b761-c3054d776708"]}],"mendeley":{"formattedCitation":"Mujahidin, “The Implication of Local Wisdom in Tafsir Al-Azhar on Moderate Islamic Thought by Hamka.”","plainTextFormattedCitation":"Mujahidin, “The Implication of Local Wisdom in Tafsir Al-Azhar on Moderate Islamic Thought by Hamka.”","previouslyFormattedCitation":"Mujahidin, “The Implication of Local Wisdom in Tafsir Al-Azhar on Moderate Islamic Thought by Hamka.”"},"properties":{"noteIndex":38},"schema":"https://github.com/citation-style-language/schema/raw/master/csl-citation.json"}</w:instrText>
      </w:r>
      <w:r w:rsidRPr="00A85C01">
        <w:rPr>
          <w:rFonts w:ascii="Times New Roman" w:hAnsi="Times New Roman" w:cs="Times New Roman"/>
        </w:rPr>
        <w:fldChar w:fldCharType="separate"/>
      </w:r>
      <w:r w:rsidRPr="00A85C01">
        <w:rPr>
          <w:rFonts w:ascii="Times New Roman" w:hAnsi="Times New Roman" w:cs="Times New Roman"/>
          <w:noProof/>
        </w:rPr>
        <w:t>Mujahidin, “The Implication of Local Wisdom in Tafsir Al-Azhar on Moderate Islamic Thought by Hamka.”</w:t>
      </w:r>
      <w:r w:rsidRPr="00A85C01">
        <w:rPr>
          <w:rFonts w:ascii="Times New Roman" w:hAnsi="Times New Roman" w:cs="Times New Roman"/>
        </w:rPr>
        <w:fldChar w:fldCharType="end"/>
      </w:r>
    </w:p>
  </w:footnote>
  <w:footnote w:id="35">
    <w:p w:rsidR="00C63F36" w:rsidRPr="00A85C01" w:rsidRDefault="00C63F36" w:rsidP="003642C6">
      <w:pPr>
        <w:pStyle w:val="FootnoteText"/>
        <w:ind w:firstLine="720"/>
        <w:jc w:val="both"/>
        <w:rPr>
          <w:rFonts w:ascii="Times New Roman" w:hAnsi="Times New Roman" w:cs="Times New Roman"/>
        </w:rPr>
      </w:pPr>
      <w:r w:rsidRPr="00A85C01">
        <w:rPr>
          <w:rStyle w:val="FootnoteReference"/>
          <w:rFonts w:ascii="Times New Roman" w:hAnsi="Times New Roman" w:cs="Times New Roman"/>
        </w:rPr>
        <w:footnoteRef/>
      </w:r>
      <w:r w:rsidRPr="00A85C01">
        <w:rPr>
          <w:rFonts w:ascii="Times New Roman" w:hAnsi="Times New Roman" w:cs="Times New Roman"/>
        </w:rPr>
        <w:t xml:space="preserve"> </w:t>
      </w:r>
      <w:r w:rsidRPr="00A85C01">
        <w:rPr>
          <w:rFonts w:ascii="Times New Roman" w:hAnsi="Times New Roman" w:cs="Times New Roman"/>
        </w:rPr>
        <w:fldChar w:fldCharType="begin" w:fldLock="1"/>
      </w:r>
      <w:r w:rsidR="004C38E5" w:rsidRPr="00A85C01">
        <w:rPr>
          <w:rFonts w:ascii="Times New Roman" w:hAnsi="Times New Roman" w:cs="Times New Roman"/>
        </w:rPr>
        <w:instrText>ADDIN CSL_CITATION {"citationItems":[{"id":"ITEM-1","itemData":{"author":[{"dropping-particle":"","family":"Ahmad Von Denver","given":"","non-dropping-particle":"","parse-names":false,"suffix":""}],"id":"ITEM-1","issued":{"date-parts":[["1983"]]},"publisher":"Von Denffer, Approaches to the Qur'anic Sciences, Islamic Foundation, 1983, hlm. 76).","title":"Approaches to the Qur'anic Sciences, h 76","type":"book"},"uris":["http://www.mendeley.com/documents/?uuid=734e8f3f-0d69-4e9e-8a9d-df137716a713"]}],"mendeley":{"formattedCitation":"Ahmad Von Denver, &lt;i&gt;Approaches to the Qur’anic Sciences, h 76&lt;/i&gt; (Von Denffer, Approaches to the Qur’anic Sciences, Islamic Foundation, 1983, hlm. 76)., 1983).","plainTextFormattedCitation":"Ahmad Von Denver, Approaches to the Qur’anic Sciences, h 76 (Von Denffer, Approaches to the Qur’anic Sciences, Islamic Foundation, 1983, hlm. 76)., 1983).","previouslyFormattedCitation":"Ahmad Von Denver, &lt;i&gt;Approaches to the Qur’anic Sciences, h 76&lt;/i&gt; (Von Denffer, Approaches to the Qur’anic Sciences, Islamic Foundation, 1983, hlm. 76)., 1983)."},"properties":{"noteIndex":39},"schema":"https://github.com/citation-style-language/schema/raw/master/csl-citation.json"}</w:instrText>
      </w:r>
      <w:r w:rsidRPr="00A85C01">
        <w:rPr>
          <w:rFonts w:ascii="Times New Roman" w:hAnsi="Times New Roman" w:cs="Times New Roman"/>
        </w:rPr>
        <w:fldChar w:fldCharType="separate"/>
      </w:r>
      <w:r w:rsidRPr="00A85C01">
        <w:rPr>
          <w:rFonts w:ascii="Times New Roman" w:hAnsi="Times New Roman" w:cs="Times New Roman"/>
          <w:noProof/>
        </w:rPr>
        <w:t xml:space="preserve">Ahmad Von Denver, </w:t>
      </w:r>
      <w:r w:rsidRPr="00A85C01">
        <w:rPr>
          <w:rFonts w:ascii="Times New Roman" w:hAnsi="Times New Roman" w:cs="Times New Roman"/>
          <w:i/>
          <w:noProof/>
        </w:rPr>
        <w:t>Approaches to the Qur’anic Sciences, h 76</w:t>
      </w:r>
      <w:r w:rsidRPr="00A85C01">
        <w:rPr>
          <w:rFonts w:ascii="Times New Roman" w:hAnsi="Times New Roman" w:cs="Times New Roman"/>
          <w:noProof/>
        </w:rPr>
        <w:t xml:space="preserve"> (Von Denffer, Approaches to the Qur’anic Sciences, Islamic Foundation, 1983, hlm. 76)., 1983).</w:t>
      </w:r>
      <w:r w:rsidRPr="00A85C01">
        <w:rPr>
          <w:rFonts w:ascii="Times New Roman" w:hAnsi="Times New Roman" w:cs="Times New Roman"/>
        </w:rPr>
        <w:fldChar w:fldCharType="end"/>
      </w:r>
    </w:p>
  </w:footnote>
  <w:footnote w:id="36">
    <w:p w:rsidR="00C63F36" w:rsidRPr="00A85C01" w:rsidRDefault="00C63F36" w:rsidP="003642C6">
      <w:pPr>
        <w:pStyle w:val="FootnoteText"/>
        <w:ind w:firstLine="720"/>
        <w:jc w:val="both"/>
        <w:rPr>
          <w:rFonts w:ascii="Times New Roman" w:hAnsi="Times New Roman" w:cs="Times New Roman"/>
        </w:rPr>
      </w:pPr>
      <w:r w:rsidRPr="00A85C01">
        <w:rPr>
          <w:rStyle w:val="FootnoteReference"/>
          <w:rFonts w:ascii="Times New Roman" w:hAnsi="Times New Roman" w:cs="Times New Roman"/>
        </w:rPr>
        <w:footnoteRef/>
      </w:r>
      <w:r w:rsidRPr="00A85C01">
        <w:rPr>
          <w:rFonts w:ascii="Times New Roman" w:hAnsi="Times New Roman" w:cs="Times New Roman"/>
        </w:rPr>
        <w:t xml:space="preserve"> </w:t>
      </w:r>
      <w:r w:rsidRPr="00A85C01">
        <w:rPr>
          <w:rFonts w:ascii="Times New Roman" w:hAnsi="Times New Roman" w:cs="Times New Roman"/>
        </w:rPr>
        <w:fldChar w:fldCharType="begin" w:fldLock="1"/>
      </w:r>
      <w:r w:rsidR="004C38E5" w:rsidRPr="00A85C01">
        <w:rPr>
          <w:rFonts w:ascii="Times New Roman" w:hAnsi="Times New Roman" w:cs="Times New Roman"/>
        </w:rPr>
        <w:instrText>ADDIN CSL_CITATION {"citationItems":[{"id":"ITEM-1","itemData":{"DOI":"10.24042/ajsla.v14i1.4681","author":[{"dropping-particle":"V","family":"Rohmatika","given":"Ratu","non-dropping-particle":"","parse-names":false,"suffix":""}],"container-title":"Al-Adyan Jurnal Studi Lintas Agama","id":"ITEM-1","issue":"1","issued":{"date-parts":[["2019"]]},"page":"115-132","title":"Pendekatan Interdisipliner Dan Multidisipliner Dalam Studi Islam","type":"article-journal","volume":"14"},"uris":["http://www.mendeley.com/documents/?uuid=5275c341-c4dc-4605-8bd0-acef8fe72b34"]}],"mendeley":{"formattedCitation":"Ratu V Rohmatika, “Pendekatan Interdisipliner Dan Multidisipliner Dalam Studi Islam,” &lt;i&gt;Al-Adyan Jurnal Studi Lintas Agama&lt;/i&gt; 14, no. 1 (2019): 115–32, https://doi.org/10.24042/ajsla.v14i1.4681.","plainTextFormattedCitation":"Ratu V Rohmatika, “Pendekatan Interdisipliner Dan Multidisipliner Dalam Studi Islam,” Al-Adyan Jurnal Studi Lintas Agama 14, no. 1 (2019): 115–32, https://doi.org/10.24042/ajsla.v14i1.4681.","previouslyFormattedCitation":"Ratu V Rohmatika, “Pendekatan Interdisipliner Dan Multidisipliner Dalam Studi Islam,” &lt;i&gt;Al-Adyan Jurnal Studi Lintas Agama&lt;/i&gt; 14, no. 1 (2019): 115–32, https://doi.org/10.24042/ajsla.v14i1.4681."},"properties":{"noteIndex":40},"schema":"https://github.com/citation-style-language/schema/raw/master/csl-citation.json"}</w:instrText>
      </w:r>
      <w:r w:rsidRPr="00A85C01">
        <w:rPr>
          <w:rFonts w:ascii="Times New Roman" w:hAnsi="Times New Roman" w:cs="Times New Roman"/>
        </w:rPr>
        <w:fldChar w:fldCharType="separate"/>
      </w:r>
      <w:r w:rsidRPr="00A85C01">
        <w:rPr>
          <w:rFonts w:ascii="Times New Roman" w:hAnsi="Times New Roman" w:cs="Times New Roman"/>
          <w:noProof/>
        </w:rPr>
        <w:t xml:space="preserve">Ratu V Rohmatika, “Pendekatan Interdisipliner Dan Multidisipliner Dalam Studi Islam,” </w:t>
      </w:r>
      <w:r w:rsidRPr="00A85C01">
        <w:rPr>
          <w:rFonts w:ascii="Times New Roman" w:hAnsi="Times New Roman" w:cs="Times New Roman"/>
          <w:i/>
          <w:noProof/>
        </w:rPr>
        <w:t>Al-Adyan Jurnal Studi Lintas Agama</w:t>
      </w:r>
      <w:r w:rsidRPr="00A85C01">
        <w:rPr>
          <w:rFonts w:ascii="Times New Roman" w:hAnsi="Times New Roman" w:cs="Times New Roman"/>
          <w:noProof/>
        </w:rPr>
        <w:t xml:space="preserve"> 14, no. 1 (2019): 115–32, https://doi.org/10.24042/ajsla.v14i1.4681.</w:t>
      </w:r>
      <w:r w:rsidRPr="00A85C01">
        <w:rPr>
          <w:rFonts w:ascii="Times New Roman" w:hAnsi="Times New Roman" w:cs="Times New Roman"/>
        </w:rPr>
        <w:fldChar w:fldCharType="end"/>
      </w:r>
    </w:p>
  </w:footnote>
  <w:footnote w:id="37">
    <w:p w:rsidR="004C38E5" w:rsidRPr="00A85C01" w:rsidRDefault="004C38E5" w:rsidP="003642C6">
      <w:pPr>
        <w:pStyle w:val="FootnoteText"/>
        <w:ind w:firstLine="720"/>
        <w:jc w:val="both"/>
        <w:rPr>
          <w:rFonts w:ascii="Times New Roman" w:hAnsi="Times New Roman" w:cs="Times New Roman"/>
        </w:rPr>
      </w:pPr>
      <w:r w:rsidRPr="00A85C01">
        <w:rPr>
          <w:rStyle w:val="FootnoteReference"/>
          <w:rFonts w:ascii="Times New Roman" w:hAnsi="Times New Roman" w:cs="Times New Roman"/>
        </w:rPr>
        <w:footnoteRef/>
      </w:r>
      <w:r w:rsidRPr="00A85C01">
        <w:rPr>
          <w:rFonts w:ascii="Times New Roman" w:hAnsi="Times New Roman" w:cs="Times New Roman"/>
        </w:rPr>
        <w:t xml:space="preserve"> </w:t>
      </w:r>
      <w:r w:rsidRPr="00A85C01">
        <w:rPr>
          <w:rFonts w:ascii="Times New Roman" w:hAnsi="Times New Roman" w:cs="Times New Roman"/>
        </w:rPr>
        <w:fldChar w:fldCharType="begin" w:fldLock="1"/>
      </w:r>
      <w:r w:rsidRPr="00A85C01">
        <w:rPr>
          <w:rFonts w:ascii="Times New Roman" w:hAnsi="Times New Roman" w:cs="Times New Roman"/>
        </w:rPr>
        <w:instrText>ADDIN CSL_CITATION {"citationItems":[{"id":"ITEM-1","itemData":{"DOI":"10.61941/iklila.v6i2.177","author":[{"dropping-particle":"","family":"Triasa","given":"Arif R","non-dropping-particle":"","parse-names":false,"suffix":""}],"container-title":"Iklila","id":"ITEM-1","issue":"2","issued":{"date-parts":[["2024"]]},"page":"17-31","title":"Dinamika Pendekatan Interdisipliner: Hambatan Dan Proyeksi Dalam Penelitian Studi Islam","type":"article-journal","volume":"6"},"uris":["http://www.mendeley.com/documents/?uuid=6b95ade6-7df5-4b30-be6d-d8751c449e6f"]}],"mendeley":{"formattedCitation":"Arif R Triasa, “Dinamika Pendekatan Interdisipliner: Hambatan Dan Proyeksi Dalam Penelitian Studi Islam,” &lt;i&gt;Iklila&lt;/i&gt; 6, no. 2 (2024): 17–31, https://doi.org/10.61941/iklila.v6i2.177.","plainTextFormattedCitation":"Arif R Triasa, “Dinamika Pendekatan Interdisipliner: Hambatan Dan Proyeksi Dalam Penelitian Studi Islam,” Iklila 6, no. 2 (2024): 17–31, https://doi.org/10.61941/iklila.v6i2.177.","previouslyFormattedCitation":"Arif R Triasa, “Dinamika Pendekatan Interdisipliner: Hambatan Dan Proyeksi Dalam Penelitian Studi Islam,” &lt;i&gt;Iklila&lt;/i&gt; 6, no. 2 (2024): 17–31, https://doi.org/10.61941/iklila.v6i2.177."},"properties":{"noteIndex":41},"schema":"https://github.com/citation-style-language/schema/raw/master/csl-citation.json"}</w:instrText>
      </w:r>
      <w:r w:rsidRPr="00A85C01">
        <w:rPr>
          <w:rFonts w:ascii="Times New Roman" w:hAnsi="Times New Roman" w:cs="Times New Roman"/>
        </w:rPr>
        <w:fldChar w:fldCharType="separate"/>
      </w:r>
      <w:r w:rsidRPr="00A85C01">
        <w:rPr>
          <w:rFonts w:ascii="Times New Roman" w:hAnsi="Times New Roman" w:cs="Times New Roman"/>
          <w:noProof/>
        </w:rPr>
        <w:t xml:space="preserve">Arif R Triasa, “Dinamika Pendekatan Interdisipliner: Hambatan Dan Proyeksi Dalam Penelitian Studi Islam,” </w:t>
      </w:r>
      <w:r w:rsidRPr="00A85C01">
        <w:rPr>
          <w:rFonts w:ascii="Times New Roman" w:hAnsi="Times New Roman" w:cs="Times New Roman"/>
          <w:i/>
          <w:noProof/>
        </w:rPr>
        <w:t>Iklila</w:t>
      </w:r>
      <w:r w:rsidRPr="00A85C01">
        <w:rPr>
          <w:rFonts w:ascii="Times New Roman" w:hAnsi="Times New Roman" w:cs="Times New Roman"/>
          <w:noProof/>
        </w:rPr>
        <w:t xml:space="preserve"> 6, no. 2 (2024): 17–31, https://doi.org/10.61941/iklila.v6i2.177.</w:t>
      </w:r>
      <w:r w:rsidRPr="00A85C01">
        <w:rPr>
          <w:rFonts w:ascii="Times New Roman" w:hAnsi="Times New Roman" w:cs="Times New Roman"/>
        </w:rPr>
        <w:fldChar w:fldCharType="end"/>
      </w:r>
    </w:p>
  </w:footnote>
  <w:footnote w:id="38">
    <w:p w:rsidR="004C38E5" w:rsidRPr="00A85C01" w:rsidRDefault="004C38E5" w:rsidP="003642C6">
      <w:pPr>
        <w:pStyle w:val="FootnoteText"/>
        <w:ind w:firstLine="720"/>
        <w:jc w:val="both"/>
        <w:rPr>
          <w:rFonts w:ascii="Times New Roman" w:hAnsi="Times New Roman" w:cs="Times New Roman"/>
        </w:rPr>
      </w:pPr>
      <w:r w:rsidRPr="00A85C01">
        <w:rPr>
          <w:rStyle w:val="FootnoteReference"/>
          <w:rFonts w:ascii="Times New Roman" w:hAnsi="Times New Roman" w:cs="Times New Roman"/>
        </w:rPr>
        <w:footnoteRef/>
      </w:r>
      <w:r w:rsidRPr="00A85C01">
        <w:rPr>
          <w:rFonts w:ascii="Times New Roman" w:hAnsi="Times New Roman" w:cs="Times New Roman"/>
        </w:rPr>
        <w:t xml:space="preserve"> </w:t>
      </w:r>
      <w:r w:rsidRPr="00A85C01">
        <w:rPr>
          <w:rFonts w:ascii="Times New Roman" w:hAnsi="Times New Roman" w:cs="Times New Roman"/>
        </w:rPr>
        <w:fldChar w:fldCharType="begin" w:fldLock="1"/>
      </w:r>
      <w:r w:rsidRPr="00A85C01">
        <w:rPr>
          <w:rFonts w:ascii="Times New Roman" w:hAnsi="Times New Roman" w:cs="Times New Roman"/>
        </w:rPr>
        <w:instrText>ADDIN CSL_CITATION {"citationItems":[{"id":"ITEM-1","itemData":{"DOI":"10.30631/tjd.v18i1.97","author":[{"dropping-particle":"","family":"Latif","given":"Abdul","non-dropping-particle":"","parse-names":false,"suffix":""}],"container-title":"Tajdid Jurnal Ilmu Ushuluddin","id":"ITEM-1","issue":"1","issued":{"date-parts":[["2020"]]},"page":"105-124","title":"Spektrum Historis Tafsir Al-Qur’an Di Indonesia","type":"article-journal","volume":"18"},"uris":["http://www.mendeley.com/documents/?uuid=7f539da4-774c-41b1-b2ff-76dce8fc1405"]}],"mendeley":{"formattedCitation":"Abdul Latif, “Spektrum Historis Tafsir Al-Qur’an Di Indonesia,” &lt;i&gt;Tajdid Jurnal Ilmu Ushuluddin&lt;/i&gt; 18, no. 1 (2020): 105–24, https://doi.org/10.30631/tjd.v18i1.97.","plainTextFormattedCitation":"Abdul Latif, “Spektrum Historis Tafsir Al-Qur’an Di Indonesia,” Tajdid Jurnal Ilmu Ushuluddin 18, no. 1 (2020): 105–24, https://doi.org/10.30631/tjd.v18i1.97.","previouslyFormattedCitation":"Abdul Latif, “Spektrum Historis Tafsir Al-Qur’an Di Indonesia,” &lt;i&gt;Tajdid Jurnal Ilmu Ushuluddin&lt;/i&gt; 18, no. 1 (2020): 105–24, https://doi.org/10.30631/tjd.v18i1.97."},"properties":{"noteIndex":42},"schema":"https://github.com/citation-style-language/schema/raw/master/csl-citation.json"}</w:instrText>
      </w:r>
      <w:r w:rsidRPr="00A85C01">
        <w:rPr>
          <w:rFonts w:ascii="Times New Roman" w:hAnsi="Times New Roman" w:cs="Times New Roman"/>
        </w:rPr>
        <w:fldChar w:fldCharType="separate"/>
      </w:r>
      <w:r w:rsidRPr="00A85C01">
        <w:rPr>
          <w:rFonts w:ascii="Times New Roman" w:hAnsi="Times New Roman" w:cs="Times New Roman"/>
          <w:noProof/>
        </w:rPr>
        <w:t xml:space="preserve">Abdul Latif, “Spektrum Historis Tafsir Al-Qur’an Di Indonesia,” </w:t>
      </w:r>
      <w:r w:rsidRPr="00A85C01">
        <w:rPr>
          <w:rFonts w:ascii="Times New Roman" w:hAnsi="Times New Roman" w:cs="Times New Roman"/>
          <w:i/>
          <w:noProof/>
        </w:rPr>
        <w:t>Tajdid Jurnal Ilmu Ushuluddin</w:t>
      </w:r>
      <w:r w:rsidRPr="00A85C01">
        <w:rPr>
          <w:rFonts w:ascii="Times New Roman" w:hAnsi="Times New Roman" w:cs="Times New Roman"/>
          <w:noProof/>
        </w:rPr>
        <w:t xml:space="preserve"> 18, no. 1 (2020): 105–24, https://doi.org/10.30631/tjd.v18i1.97.</w:t>
      </w:r>
      <w:r w:rsidRPr="00A85C01">
        <w:rPr>
          <w:rFonts w:ascii="Times New Roman" w:hAnsi="Times New Roman" w:cs="Times New Roman"/>
        </w:rPr>
        <w:fldChar w:fldCharType="end"/>
      </w:r>
    </w:p>
  </w:footnote>
  <w:footnote w:id="39">
    <w:p w:rsidR="004C38E5" w:rsidRPr="00A85C01" w:rsidRDefault="004C38E5" w:rsidP="003642C6">
      <w:pPr>
        <w:pStyle w:val="FootnoteText"/>
        <w:ind w:firstLine="720"/>
        <w:jc w:val="both"/>
        <w:rPr>
          <w:rFonts w:ascii="Times New Roman" w:hAnsi="Times New Roman" w:cs="Times New Roman"/>
        </w:rPr>
      </w:pPr>
      <w:r w:rsidRPr="00A85C01">
        <w:rPr>
          <w:rStyle w:val="FootnoteReference"/>
          <w:rFonts w:ascii="Times New Roman" w:hAnsi="Times New Roman" w:cs="Times New Roman"/>
        </w:rPr>
        <w:footnoteRef/>
      </w:r>
      <w:r w:rsidRPr="00A85C01">
        <w:rPr>
          <w:rFonts w:ascii="Times New Roman" w:hAnsi="Times New Roman" w:cs="Times New Roman"/>
        </w:rPr>
        <w:t xml:space="preserve"> </w:t>
      </w:r>
      <w:r w:rsidRPr="00A85C01">
        <w:rPr>
          <w:rFonts w:ascii="Times New Roman" w:hAnsi="Times New Roman" w:cs="Times New Roman"/>
        </w:rPr>
        <w:fldChar w:fldCharType="begin" w:fldLock="1"/>
      </w:r>
      <w:r w:rsidRPr="00A85C01">
        <w:rPr>
          <w:rFonts w:ascii="Times New Roman" w:hAnsi="Times New Roman" w:cs="Times New Roman"/>
        </w:rPr>
        <w:instrText>ADDIN CSL_CITATION {"citationItems":[{"id":"ITEM-1","itemData":{"DOI":"10.18505/cuid.780369","abstract":"Abstract: This article examines tafsir (interpretation of the Qur’ān) - translation relationship in the example of the translation of verse 184 of the Surat al-Baqara into Turkish. Undoubtedly, when the verses are translated into another language, it is necessary to reflect to translate what the first interlocutors understood from them. The fact that the rules (hukm) in some verses were repealed (naskh) or allocated (takhsis) later does not change this requirement. In verse 184 of surat al-Baqara, those who can afford to fast but choose not to fast are ordered to pay ransom (fidya) for every day, that is, to pay the daily amount to feed a poor person. According to the detailed information and rumors in the tafsir literature; this rule was applied when the fast was made obligatory (fard) for the first time, and then it was abrogated. However, this practice, which was canceled for healthy and unexcused people, remained as a permission (rukhşa) for those who were too old and sick to fast. Both the narrations conveyed from the companions (sahaba) and the general opinions of the mufassirs confirm the abrogation of this rule and that it remains a rukhşa. The fact that the situatio n is described as naskh or takhsis does not make a difference in terms of transferring the verse to Turkish or another language. The verses on the subject were examined in the light of the most basic tafsir sources. To give an example that reflects the general opinion; It is stated in the thirty-five narrations reported by Tabari from the companions and tâbi'ün that the 184th verse expresses the option (takhyir) of not fasting in return for fidya for those who can fast. This option has been canceled in the next verse but it has remained for, -some people with special conditions-, as the elderly who cannot afford to fast, pregnant women and breastfeeding women who worry about harm to themselves or their childrens. According to the qirâ’a that is \"AjjSjki jjjJI Jsj\", it is said that the verse is not abrogated, it is meant for old men and women. But as emphasized by Abu Hayyân, it is understood that this qirâ’a is not actually a qirâ’a but a kind of interpretation of the expression \"^A^u jjjJI Jéj \" in terms of rukhşa. Therefore, the claim that it has not been repealed is probably due to the continued practice of fiqh. On the other hand, also rational evidence shows that the right to choose (takhyir), which was given initially, was later repealed. For example, in verse 184, it is state…","author":[{"dropping-particle":"","family":"Gördük","given":"Y E","non-dropping-particle":"","parse-names":false,"suffix":""}],"container-title":"Cumhuriyet Ilahiyat Dergisi","id":"ITEM-1","issue":"3","issued":{"date-parts":[["2020"]]},"note":"Export Date: 02 October 2024; Cited By: 0","page":"1455-1474","title":"An Analysis on the Relation of Qur’ānic Interpretation (Tafsīr) - Qur'ān Translation: The Example of Transferring the 184th Verse of Surat al-Baqara To Turkish","type":"article-journal","volume":"24"},"uris":["http://www.mendeley.com/documents/?uuid=659829e0-132e-4b39-8671-a4eb69be2a26"]}],"mendeley":{"formattedCitation":"Y E Gördük, “An Analysis on the Relation of Qur’ānic Interpretation (Tafsīr) - Qur’ān Translation: The Example of Transferring the 184th Verse of Surat Al-Baqara To Turkish,” &lt;i&gt;Cumhuriyet Ilahiyat Dergisi&lt;/i&gt; 24, no. 3 (2020): 1455–74, https://doi.org/10.18505/cuid.780369.","plainTextFormattedCitation":"Y E Gördük, “An Analysis on the Relation of Qur’ānic Interpretation (Tafsīr) - Qur’ān Translation: The Example of Transferring the 184th Verse of Surat Al-Baqara To Turkish,” Cumhuriyet Ilahiyat Dergisi 24, no. 3 (2020): 1455–74, https://doi.org/10.18505/cuid.780369.","previouslyFormattedCitation":"Y E Gördük, “An Analysis on the Relation of Qur’ānic Interpretation (Tafsīr) - Qur’ān Translation: The Example of Transferring the 184th Verse of Surat Al-Baqara To Turkish,” &lt;i&gt;Cumhuriyet Ilahiyat Dergisi&lt;/i&gt; 24, no. 3 (2020): 1455–74, https://doi.org/10.18505/cuid.780369."},"properties":{"noteIndex":43},"schema":"https://github.com/citation-style-language/schema/raw/master/csl-citation.json"}</w:instrText>
      </w:r>
      <w:r w:rsidRPr="00A85C01">
        <w:rPr>
          <w:rFonts w:ascii="Times New Roman" w:hAnsi="Times New Roman" w:cs="Times New Roman"/>
        </w:rPr>
        <w:fldChar w:fldCharType="separate"/>
      </w:r>
      <w:r w:rsidRPr="00A85C01">
        <w:rPr>
          <w:rFonts w:ascii="Times New Roman" w:hAnsi="Times New Roman" w:cs="Times New Roman"/>
          <w:noProof/>
        </w:rPr>
        <w:t xml:space="preserve">Y E Gördük, “An Analysis on the Relation of Qur’ānic Interpretation (Tafsīr) - Qur’ān Translation: The Example of Transferring the 184th Verse of Surat Al-Baqara To Turkish,” </w:t>
      </w:r>
      <w:r w:rsidRPr="00A85C01">
        <w:rPr>
          <w:rFonts w:ascii="Times New Roman" w:hAnsi="Times New Roman" w:cs="Times New Roman"/>
          <w:i/>
          <w:noProof/>
        </w:rPr>
        <w:t>Cumhuriyet Ilahiyat Dergisi</w:t>
      </w:r>
      <w:r w:rsidRPr="00A85C01">
        <w:rPr>
          <w:rFonts w:ascii="Times New Roman" w:hAnsi="Times New Roman" w:cs="Times New Roman"/>
          <w:noProof/>
        </w:rPr>
        <w:t xml:space="preserve"> 24, no. 3 (2020): 1455–74, https://doi.org/10.18505/cuid.780369.</w:t>
      </w:r>
      <w:r w:rsidRPr="00A85C01">
        <w:rPr>
          <w:rFonts w:ascii="Times New Roman" w:hAnsi="Times New Roman" w:cs="Times New Roman"/>
        </w:rPr>
        <w:fldChar w:fldCharType="end"/>
      </w:r>
    </w:p>
  </w:footnote>
  <w:footnote w:id="40">
    <w:p w:rsidR="004C38E5" w:rsidRPr="00A85C01" w:rsidRDefault="004C38E5" w:rsidP="003642C6">
      <w:pPr>
        <w:pStyle w:val="FootnoteText"/>
        <w:ind w:firstLine="720"/>
        <w:jc w:val="both"/>
        <w:rPr>
          <w:rFonts w:ascii="Times New Roman" w:hAnsi="Times New Roman" w:cs="Times New Roman"/>
        </w:rPr>
      </w:pPr>
      <w:r w:rsidRPr="00A85C01">
        <w:rPr>
          <w:rStyle w:val="FootnoteReference"/>
          <w:rFonts w:ascii="Times New Roman" w:hAnsi="Times New Roman" w:cs="Times New Roman"/>
        </w:rPr>
        <w:footnoteRef/>
      </w:r>
      <w:r w:rsidRPr="00A85C01">
        <w:rPr>
          <w:rFonts w:ascii="Times New Roman" w:hAnsi="Times New Roman" w:cs="Times New Roman"/>
        </w:rPr>
        <w:t xml:space="preserve"> </w:t>
      </w:r>
      <w:r w:rsidRPr="00A85C01">
        <w:rPr>
          <w:rFonts w:ascii="Times New Roman" w:hAnsi="Times New Roman" w:cs="Times New Roman"/>
        </w:rPr>
        <w:fldChar w:fldCharType="begin" w:fldLock="1"/>
      </w:r>
      <w:r w:rsidRPr="00A85C01">
        <w:rPr>
          <w:rFonts w:ascii="Times New Roman" w:hAnsi="Times New Roman" w:cs="Times New Roman"/>
        </w:rPr>
        <w:instrText>ADDIN CSL_CITATION {"citationItems":[{"id":"ITEM-1","itemData":{"author":[{"dropping-particle":"","family":"M. Quraish Shihab","given":"","non-dropping-particle":"","parse-names":false,"suffix":""}],"id":"ITEM-1","issued":{"date-parts":[["1996"]]},"publisher":"(Shihab, Al-Qur'an dan Metodologi Tafsir, Lentera Hati, 1996, hlm. 122).","title":"Al-Qur'an dan Metodologi Tafsir, h 122","type":"book"},"uris":["http://www.mendeley.com/documents/?uuid=149655f5-aa99-4b6e-9481-52896bd94cf7"]}],"mendeley":{"formattedCitation":"M. Quraish Shihab, &lt;i&gt;Al-Qur’an Dan Metodologi Tafsir, h 122&lt;/i&gt; ((Shihab, Al-Qur’an dan Metodologi Tafsir, Lentera Hati, 1996, hlm. 122)., 1996).","plainTextFormattedCitation":"M. Quraish Shihab, Al-Qur’an Dan Metodologi Tafsir, h 122 ((Shihab, Al-Qur’an dan Metodologi Tafsir, Lentera Hati, 1996, hlm. 122)., 1996).","previouslyFormattedCitation":"M. Quraish Shihab, &lt;i&gt;Al-Qur’an Dan Metodologi Tafsir, h 122&lt;/i&gt; ((Shihab, Al-Qur’an dan Metodologi Tafsir, Lentera Hati, 1996, hlm. 122)., 1996)."},"properties":{"noteIndex":44},"schema":"https://github.com/citation-style-language/schema/raw/master/csl-citation.json"}</w:instrText>
      </w:r>
      <w:r w:rsidRPr="00A85C01">
        <w:rPr>
          <w:rFonts w:ascii="Times New Roman" w:hAnsi="Times New Roman" w:cs="Times New Roman"/>
        </w:rPr>
        <w:fldChar w:fldCharType="separate"/>
      </w:r>
      <w:r w:rsidRPr="00A85C01">
        <w:rPr>
          <w:rFonts w:ascii="Times New Roman" w:hAnsi="Times New Roman" w:cs="Times New Roman"/>
          <w:noProof/>
        </w:rPr>
        <w:t xml:space="preserve">M. Quraish Shihab, </w:t>
      </w:r>
      <w:r w:rsidRPr="00A85C01">
        <w:rPr>
          <w:rFonts w:ascii="Times New Roman" w:hAnsi="Times New Roman" w:cs="Times New Roman"/>
          <w:i/>
          <w:noProof/>
        </w:rPr>
        <w:t>Al-Qur’an Dan Metodologi Tafsir, h 122</w:t>
      </w:r>
      <w:r w:rsidRPr="00A85C01">
        <w:rPr>
          <w:rFonts w:ascii="Times New Roman" w:hAnsi="Times New Roman" w:cs="Times New Roman"/>
          <w:noProof/>
        </w:rPr>
        <w:t xml:space="preserve"> ((Shihab, Al-Qur’an dan Metodologi Tafsir, Lentera Hati, 1996, hlm. 122)., 1996).</w:t>
      </w:r>
      <w:r w:rsidRPr="00A85C01">
        <w:rPr>
          <w:rFonts w:ascii="Times New Roman" w:hAnsi="Times New Roman" w:cs="Times New Roman"/>
        </w:rPr>
        <w:fldChar w:fldCharType="end"/>
      </w:r>
    </w:p>
  </w:footnote>
  <w:footnote w:id="41">
    <w:p w:rsidR="00A85C01" w:rsidRPr="00A85C01" w:rsidRDefault="00A85C01" w:rsidP="003642C6">
      <w:pPr>
        <w:pStyle w:val="FootnoteText"/>
        <w:ind w:firstLine="720"/>
        <w:jc w:val="both"/>
        <w:rPr>
          <w:rFonts w:ascii="Times New Roman" w:hAnsi="Times New Roman" w:cs="Times New Roman"/>
        </w:rPr>
      </w:pPr>
      <w:r w:rsidRPr="00A85C01">
        <w:rPr>
          <w:rStyle w:val="FootnoteReference"/>
          <w:rFonts w:ascii="Times New Roman" w:hAnsi="Times New Roman" w:cs="Times New Roman"/>
        </w:rPr>
        <w:footnoteRef/>
      </w:r>
      <w:r w:rsidRPr="00A85C01">
        <w:rPr>
          <w:rFonts w:ascii="Times New Roman" w:hAnsi="Times New Roman" w:cs="Times New Roman"/>
        </w:rPr>
        <w:t xml:space="preserve"> </w:t>
      </w:r>
      <w:r w:rsidRPr="00A85C01">
        <w:rPr>
          <w:rFonts w:ascii="Times New Roman" w:hAnsi="Times New Roman" w:cs="Times New Roman"/>
        </w:rPr>
        <w:fldChar w:fldCharType="begin" w:fldLock="1"/>
      </w:r>
      <w:r w:rsidRPr="00A85C01">
        <w:rPr>
          <w:rFonts w:ascii="Times New Roman" w:hAnsi="Times New Roman" w:cs="Times New Roman"/>
        </w:rPr>
        <w:instrText>ADDIN CSL_CITATION {"citationItems":[{"id":"ITEM-1","itemData":{"author":[{"dropping-particle":"","family":"Abdullah Saed","given":"","non-dropping-particle":"","parse-names":false,"suffix":""}],"id":"ITEM-1","issued":{"date-parts":[["2004"]]},"publisher":"Saeed, Hermeneutika Al-Qur'an, Mizan, 2004, hlm. 96).","title":"Hermeneutika Al-Qur'an, h 96","type":"book"},"uris":["http://www.mendeley.com/documents/?uuid=45db2205-a00a-4294-af37-bb93f8b329eb"]}],"mendeley":{"formattedCitation":"Abdullah Saed, &lt;i&gt;Hermeneutika Al-Qur’an, h 96&lt;/i&gt; (Saeed, Hermeneutika Al-Qur’an, Mizan, 2004, hlm. 96)., 2004).","plainTextFormattedCitation":"Abdullah Saed, Hermeneutika Al-Qur’an, h 96 (Saeed, Hermeneutika Al-Qur’an, Mizan, 2004, hlm. 96)., 2004).","previouslyFormattedCitation":"Abdullah Saed, &lt;i&gt;Hermeneutika Al-Qur’an, h 96&lt;/i&gt; (Saeed, Hermeneutika Al-Qur’an, Mizan, 2004, hlm. 96)., 2004)."},"properties":{"noteIndex":45},"schema":"https://github.com/citation-style-language/schema/raw/master/csl-citation.json"}</w:instrText>
      </w:r>
      <w:r w:rsidRPr="00A85C01">
        <w:rPr>
          <w:rFonts w:ascii="Times New Roman" w:hAnsi="Times New Roman" w:cs="Times New Roman"/>
        </w:rPr>
        <w:fldChar w:fldCharType="separate"/>
      </w:r>
      <w:r w:rsidRPr="00A85C01">
        <w:rPr>
          <w:rFonts w:ascii="Times New Roman" w:hAnsi="Times New Roman" w:cs="Times New Roman"/>
          <w:noProof/>
        </w:rPr>
        <w:t xml:space="preserve">Abdullah Saed, </w:t>
      </w:r>
      <w:r w:rsidRPr="00A85C01">
        <w:rPr>
          <w:rFonts w:ascii="Times New Roman" w:hAnsi="Times New Roman" w:cs="Times New Roman"/>
          <w:i/>
          <w:noProof/>
        </w:rPr>
        <w:t>Hermeneutika Al-Qur’an, h 96</w:t>
      </w:r>
      <w:r w:rsidRPr="00A85C01">
        <w:rPr>
          <w:rFonts w:ascii="Times New Roman" w:hAnsi="Times New Roman" w:cs="Times New Roman"/>
          <w:noProof/>
        </w:rPr>
        <w:t xml:space="preserve"> (Saeed, Hermeneutika Al-Qur’an, Mizan, 2004, hlm. 96)., 2004).</w:t>
      </w:r>
      <w:r w:rsidRPr="00A85C01">
        <w:rPr>
          <w:rFonts w:ascii="Times New Roman" w:hAnsi="Times New Roman" w:cs="Times New Roman"/>
        </w:rPr>
        <w:fldChar w:fldCharType="end"/>
      </w:r>
    </w:p>
  </w:footnote>
  <w:footnote w:id="42">
    <w:p w:rsidR="004C38E5" w:rsidRPr="00A85C01" w:rsidRDefault="004C38E5" w:rsidP="003642C6">
      <w:pPr>
        <w:pStyle w:val="FootnoteText"/>
        <w:ind w:firstLine="720"/>
        <w:jc w:val="both"/>
        <w:rPr>
          <w:rFonts w:ascii="Times New Roman" w:hAnsi="Times New Roman" w:cs="Times New Roman"/>
        </w:rPr>
      </w:pPr>
      <w:r w:rsidRPr="00A85C01">
        <w:rPr>
          <w:rStyle w:val="FootnoteReference"/>
          <w:rFonts w:ascii="Times New Roman" w:hAnsi="Times New Roman" w:cs="Times New Roman"/>
        </w:rPr>
        <w:footnoteRef/>
      </w:r>
      <w:r w:rsidRPr="00A85C01">
        <w:rPr>
          <w:rFonts w:ascii="Times New Roman" w:hAnsi="Times New Roman" w:cs="Times New Roman"/>
        </w:rPr>
        <w:t xml:space="preserve"> </w:t>
      </w:r>
      <w:r w:rsidRPr="00A85C01">
        <w:rPr>
          <w:rFonts w:ascii="Times New Roman" w:hAnsi="Times New Roman" w:cs="Times New Roman"/>
        </w:rPr>
        <w:fldChar w:fldCharType="begin" w:fldLock="1"/>
      </w:r>
      <w:r w:rsidR="00A85C01" w:rsidRPr="00A85C01">
        <w:rPr>
          <w:rFonts w:ascii="Times New Roman" w:hAnsi="Times New Roman" w:cs="Times New Roman"/>
        </w:rPr>
        <w:instrText>ADDIN CSL_CITATION {"citationItems":[{"id":"ITEM-1","itemData":{"author":[{"dropping-particle":"","family":"Mohammad Arkoun","given":"","non-dropping-particle":"","parse-names":false,"suffix":""}],"id":"ITEM-1","issued":{"date-parts":[["1994"]]},"publisher":"(Arkoun, Reformasi Pemikiran Islam, Pustaka Pelajar, 1994, hlm. 72-73).","title":"Reformasi Pemikiran Islam, h 72-73","type":"book"},"uris":["http://www.mendeley.com/documents/?uuid=c716d0f1-a567-41eb-b020-e1678fed335c"]}],"mendeley":{"formattedCitation":"Mohammad Arkoun, &lt;i&gt;Reformasi Pemikiran Islam, h 72-73&lt;/i&gt; ((Arkoun, Reformasi Pemikiran Islam, Pustaka Pelajar, 1994, hlm. 72-73)., 1994).","plainTextFormattedCitation":"Mohammad Arkoun, Reformasi Pemikiran Islam, h 72-73 ((Arkoun, Reformasi Pemikiran Islam, Pustaka Pelajar, 1994, hlm. 72-73)., 1994).","previouslyFormattedCitation":"Mohammad Arkoun, &lt;i&gt;Reformasi Pemikiran Islam, h 72-73&lt;/i&gt; ((Arkoun, Reformasi Pemikiran Islam, Pustaka Pelajar, 1994, hlm. 72-73)., 1994)."},"properties":{"noteIndex":46},"schema":"https://github.com/citation-style-language/schema/raw/master/csl-citation.json"}</w:instrText>
      </w:r>
      <w:r w:rsidRPr="00A85C01">
        <w:rPr>
          <w:rFonts w:ascii="Times New Roman" w:hAnsi="Times New Roman" w:cs="Times New Roman"/>
        </w:rPr>
        <w:fldChar w:fldCharType="separate"/>
      </w:r>
      <w:r w:rsidRPr="00A85C01">
        <w:rPr>
          <w:rFonts w:ascii="Times New Roman" w:hAnsi="Times New Roman" w:cs="Times New Roman"/>
          <w:noProof/>
        </w:rPr>
        <w:t xml:space="preserve">Mohammad Arkoun, </w:t>
      </w:r>
      <w:r w:rsidRPr="00A85C01">
        <w:rPr>
          <w:rFonts w:ascii="Times New Roman" w:hAnsi="Times New Roman" w:cs="Times New Roman"/>
          <w:i/>
          <w:noProof/>
        </w:rPr>
        <w:t>Reformasi Pemikiran Islam, h 72-73</w:t>
      </w:r>
      <w:r w:rsidRPr="00A85C01">
        <w:rPr>
          <w:rFonts w:ascii="Times New Roman" w:hAnsi="Times New Roman" w:cs="Times New Roman"/>
          <w:noProof/>
        </w:rPr>
        <w:t xml:space="preserve"> ((Arkoun, Reformasi Pemikiran Islam, Pustaka Pelajar, 1994, hlm. 72-73)., 1994).</w:t>
      </w:r>
      <w:r w:rsidRPr="00A85C01">
        <w:rPr>
          <w:rFonts w:ascii="Times New Roman" w:hAnsi="Times New Roman" w:cs="Times New Roman"/>
        </w:rPr>
        <w:fldChar w:fldCharType="end"/>
      </w:r>
    </w:p>
  </w:footnote>
  <w:footnote w:id="43">
    <w:p w:rsidR="004C38E5" w:rsidRPr="00A85C01" w:rsidRDefault="004C38E5" w:rsidP="003642C6">
      <w:pPr>
        <w:pStyle w:val="FootnoteText"/>
        <w:ind w:firstLine="720"/>
        <w:jc w:val="both"/>
        <w:rPr>
          <w:rFonts w:ascii="Times New Roman" w:hAnsi="Times New Roman" w:cs="Times New Roman"/>
        </w:rPr>
      </w:pPr>
      <w:r w:rsidRPr="00A85C01">
        <w:rPr>
          <w:rStyle w:val="FootnoteReference"/>
          <w:rFonts w:ascii="Times New Roman" w:hAnsi="Times New Roman" w:cs="Times New Roman"/>
        </w:rPr>
        <w:footnoteRef/>
      </w:r>
      <w:r w:rsidRPr="00A85C01">
        <w:rPr>
          <w:rFonts w:ascii="Times New Roman" w:hAnsi="Times New Roman" w:cs="Times New Roman"/>
        </w:rPr>
        <w:t xml:space="preserve"> </w:t>
      </w:r>
      <w:r w:rsidRPr="00A85C01">
        <w:rPr>
          <w:rFonts w:ascii="Times New Roman" w:hAnsi="Times New Roman" w:cs="Times New Roman"/>
        </w:rPr>
        <w:fldChar w:fldCharType="begin" w:fldLock="1"/>
      </w:r>
      <w:r w:rsidR="00A85C01" w:rsidRPr="00A85C01">
        <w:rPr>
          <w:rFonts w:ascii="Times New Roman" w:hAnsi="Times New Roman" w:cs="Times New Roman"/>
        </w:rPr>
        <w:instrText>ADDIN CSL_CITATION {"citationItems":[{"id":"ITEM-1","itemData":{"DOI":"10.22548/shf.v14i1.618","author":[{"dropping-particle":"","family":"Rahmatullah","given":"Rahmatullah","non-dropping-particle":"","parse-names":false,"suffix":""},{"dropping-particle":"","family":"Hudriansyah","given":"Hudriansyah","non-dropping-particle":"","parse-names":false,"suffix":""},{"dropping-particle":"","family":"Mursalim","given":"Mursalim","non-dropping-particle":"","parse-names":false,"suffix":""}],"container-title":"Suhuf","id":"ITEM-1","issue":"1","issued":{"date-parts":[["2021"]]},"page":"127-151","title":"M. Quraish Shihab Dan Pengaruhnya Terhadap Dinamika Studi Tafsir Al-Qur’an Indonesia Kontemporer","type":"article-journal","volume":"14"},"uris":["http://www.mendeley.com/documents/?uuid=c2ea1bed-ee6c-499e-b4b0-179de24c66f7"]}],"mendeley":{"formattedCitation":"Rahmatullah Rahmatullah, Hudriansyah Hudriansyah, and Mursalim Mursalim, “M. Quraish Shihab Dan Pengaruhnya Terhadap Dinamika Studi Tafsir Al-Qur’an Indonesia Kontemporer,” &lt;i&gt;Suhuf&lt;/i&gt; 14, no. 1 (2021): 127–51, https://doi.org/10.22548/shf.v14i1.618.","plainTextFormattedCitation":"Rahmatullah Rahmatullah, Hudriansyah Hudriansyah, and Mursalim Mursalim, “M. Quraish Shihab Dan Pengaruhnya Terhadap Dinamika Studi Tafsir Al-Qur’an Indonesia Kontemporer,” Suhuf 14, no. 1 (2021): 127–51, https://doi.org/10.22548/shf.v14i1.618.","previouslyFormattedCitation":"Rahmatullah Rahmatullah, Hudriansyah Hudriansyah, and Mursalim Mursalim, “M. Quraish Shihab Dan Pengaruhnya Terhadap Dinamika Studi Tafsir Al-Qur’an Indonesia Kontemporer,” &lt;i&gt;Suhuf&lt;/i&gt; 14, no. 1 (2021): 127–51, https://doi.org/10.22548/shf.v14i1.618."},"properties":{"noteIndex":47},"schema":"https://github.com/citation-style-language/schema/raw/master/csl-citation.json"}</w:instrText>
      </w:r>
      <w:r w:rsidRPr="00A85C01">
        <w:rPr>
          <w:rFonts w:ascii="Times New Roman" w:hAnsi="Times New Roman" w:cs="Times New Roman"/>
        </w:rPr>
        <w:fldChar w:fldCharType="separate"/>
      </w:r>
      <w:r w:rsidRPr="00A85C01">
        <w:rPr>
          <w:rFonts w:ascii="Times New Roman" w:hAnsi="Times New Roman" w:cs="Times New Roman"/>
          <w:noProof/>
        </w:rPr>
        <w:t xml:space="preserve">Rahmatullah Rahmatullah, Hudriansyah Hudriansyah, and Mursalim Mursalim, “M. Quraish Shihab Dan Pengaruhnya Terhadap Dinamika Studi Tafsir Al-Qur’an Indonesia Kontemporer,” </w:t>
      </w:r>
      <w:r w:rsidRPr="00A85C01">
        <w:rPr>
          <w:rFonts w:ascii="Times New Roman" w:hAnsi="Times New Roman" w:cs="Times New Roman"/>
          <w:i/>
          <w:noProof/>
        </w:rPr>
        <w:t>Suhuf</w:t>
      </w:r>
      <w:r w:rsidRPr="00A85C01">
        <w:rPr>
          <w:rFonts w:ascii="Times New Roman" w:hAnsi="Times New Roman" w:cs="Times New Roman"/>
          <w:noProof/>
        </w:rPr>
        <w:t xml:space="preserve"> 14, no. 1 (2021): 127–51, https://doi.org/10.22548/shf.v14i1.618.</w:t>
      </w:r>
      <w:r w:rsidRPr="00A85C01">
        <w:rPr>
          <w:rFonts w:ascii="Times New Roman" w:hAnsi="Times New Roman" w:cs="Times New Roman"/>
        </w:rPr>
        <w:fldChar w:fldCharType="end"/>
      </w:r>
    </w:p>
  </w:footnote>
  <w:footnote w:id="44">
    <w:p w:rsidR="004C38E5" w:rsidRPr="00A85C01" w:rsidRDefault="004C38E5" w:rsidP="003642C6">
      <w:pPr>
        <w:pStyle w:val="FootnoteText"/>
        <w:ind w:firstLine="720"/>
        <w:jc w:val="both"/>
        <w:rPr>
          <w:rFonts w:ascii="Times New Roman" w:hAnsi="Times New Roman" w:cs="Times New Roman"/>
        </w:rPr>
      </w:pPr>
      <w:r w:rsidRPr="00A85C01">
        <w:rPr>
          <w:rStyle w:val="FootnoteReference"/>
          <w:rFonts w:ascii="Times New Roman" w:hAnsi="Times New Roman" w:cs="Times New Roman"/>
        </w:rPr>
        <w:footnoteRef/>
      </w:r>
      <w:r w:rsidRPr="00A85C01">
        <w:rPr>
          <w:rFonts w:ascii="Times New Roman" w:hAnsi="Times New Roman" w:cs="Times New Roman"/>
        </w:rPr>
        <w:t xml:space="preserve"> </w:t>
      </w:r>
      <w:r w:rsidRPr="00A85C01">
        <w:rPr>
          <w:rFonts w:ascii="Times New Roman" w:hAnsi="Times New Roman" w:cs="Times New Roman"/>
        </w:rPr>
        <w:fldChar w:fldCharType="begin" w:fldLock="1"/>
      </w:r>
      <w:r w:rsidR="00A85C01" w:rsidRPr="00A85C01">
        <w:rPr>
          <w:rFonts w:ascii="Times New Roman" w:hAnsi="Times New Roman" w:cs="Times New Roman"/>
        </w:rPr>
        <w:instrText>ADDIN CSL_CITATION {"citationItems":[{"id":"ITEM-1","itemData":{"DOI":"10.56799/jceki.v1i6.1029","author":[{"dropping-particle":"","family":"Firmanto","given":"Enggi R","non-dropping-particle":"","parse-names":false,"suffix":""}],"container-title":"J-Ceki Jurnal Cendekia Ilmiah","id":"ITEM-1","issue":"6","issued":{"date-parts":[["2022"]]},"page":"840-849","title":"Kajian Hermeneutik Dalam Dunia Pendidikan Islam","type":"article-journal","volume":"1"},"uris":["http://www.mendeley.com/documents/?uuid=2667204d-4b3c-488d-8642-bc199090f3f0"]}],"mendeley":{"formattedCitation":"Enggi R Firmanto, “Kajian Hermeneutik Dalam Dunia Pendidikan Islam,” &lt;i&gt;J-Ceki Jurnal Cendekia Ilmiah&lt;/i&gt; 1, no. 6 (2022): 840–49, https://doi.org/10.56799/jceki.v1i6.1029.","plainTextFormattedCitation":"Enggi R Firmanto, “Kajian Hermeneutik Dalam Dunia Pendidikan Islam,” J-Ceki Jurnal Cendekia Ilmiah 1, no. 6 (2022): 840–49, https://doi.org/10.56799/jceki.v1i6.1029.","previouslyFormattedCitation":"Enggi R Firmanto, “Kajian Hermeneutik Dalam Dunia Pendidikan Islam,” &lt;i&gt;J-Ceki Jurnal Cendekia Ilmiah&lt;/i&gt; 1, no. 6 (2022): 840–49, https://doi.org/10.56799/jceki.v1i6.1029."},"properties":{"noteIndex":48},"schema":"https://github.com/citation-style-language/schema/raw/master/csl-citation.json"}</w:instrText>
      </w:r>
      <w:r w:rsidRPr="00A85C01">
        <w:rPr>
          <w:rFonts w:ascii="Times New Roman" w:hAnsi="Times New Roman" w:cs="Times New Roman"/>
        </w:rPr>
        <w:fldChar w:fldCharType="separate"/>
      </w:r>
      <w:r w:rsidRPr="00A85C01">
        <w:rPr>
          <w:rFonts w:ascii="Times New Roman" w:hAnsi="Times New Roman" w:cs="Times New Roman"/>
          <w:noProof/>
        </w:rPr>
        <w:t xml:space="preserve">Enggi R Firmanto, “Kajian Hermeneutik Dalam Dunia Pendidikan Islam,” </w:t>
      </w:r>
      <w:r w:rsidRPr="00A85C01">
        <w:rPr>
          <w:rFonts w:ascii="Times New Roman" w:hAnsi="Times New Roman" w:cs="Times New Roman"/>
          <w:i/>
          <w:noProof/>
        </w:rPr>
        <w:t>J-Ceki Jurnal Cendekia Ilmiah</w:t>
      </w:r>
      <w:r w:rsidRPr="00A85C01">
        <w:rPr>
          <w:rFonts w:ascii="Times New Roman" w:hAnsi="Times New Roman" w:cs="Times New Roman"/>
          <w:noProof/>
        </w:rPr>
        <w:t xml:space="preserve"> 1, no. 6 (2022): 840–49, https://doi.org/10.56799/jceki.v1i6.1029.</w:t>
      </w:r>
      <w:r w:rsidRPr="00A85C01">
        <w:rPr>
          <w:rFonts w:ascii="Times New Roman" w:hAnsi="Times New Roman" w:cs="Times New Roman"/>
        </w:rPr>
        <w:fldChar w:fldCharType="end"/>
      </w:r>
    </w:p>
  </w:footnote>
  <w:footnote w:id="45">
    <w:p w:rsidR="004C38E5" w:rsidRDefault="004C38E5" w:rsidP="003642C6">
      <w:pPr>
        <w:pStyle w:val="FootnoteText"/>
        <w:ind w:firstLine="720"/>
        <w:jc w:val="both"/>
      </w:pPr>
      <w:r w:rsidRPr="00A85C01">
        <w:rPr>
          <w:rStyle w:val="FootnoteReference"/>
          <w:rFonts w:ascii="Times New Roman" w:hAnsi="Times New Roman" w:cs="Times New Roman"/>
        </w:rPr>
        <w:footnoteRef/>
      </w:r>
      <w:r w:rsidRPr="00A85C01">
        <w:rPr>
          <w:rFonts w:ascii="Times New Roman" w:hAnsi="Times New Roman" w:cs="Times New Roman"/>
        </w:rPr>
        <w:t xml:space="preserve"> </w:t>
      </w:r>
      <w:r w:rsidRPr="00A85C01">
        <w:rPr>
          <w:rFonts w:ascii="Times New Roman" w:hAnsi="Times New Roman" w:cs="Times New Roman"/>
        </w:rPr>
        <w:fldChar w:fldCharType="begin" w:fldLock="1"/>
      </w:r>
      <w:r w:rsidR="00A85C01" w:rsidRPr="00A85C01">
        <w:rPr>
          <w:rFonts w:ascii="Times New Roman" w:hAnsi="Times New Roman" w:cs="Times New Roman"/>
        </w:rPr>
        <w:instrText>ADDIN CSL_CITATION {"citationItems":[{"id":"ITEM-1","itemData":{"DOI":"10.32832/tawazun.v15i3.9134","author":[{"dropping-particle":"","family":"Nasyirudin","given":"Ilyas","non-dropping-particle":"","parse-names":false,"suffix":""},{"dropping-particle":"","family":"Al-Kattani","given":"Abdul H","non-dropping-particle":"","parse-names":false,"suffix":""}],"container-title":"Tawazun Jurnal Pendidikan Islam","id":"ITEM-1","issue":"3","issued":{"date-parts":[["2023"]]},"page":"429","title":"Pendidikan Tafsir Bagi Santri Di Pesantren Tahfidz","type":"article-journal","volume":"15"},"uris":["http://www.mendeley.com/documents/?uuid=3f5a001d-92fb-4db2-83c6-ee295b7b687b"]}],"mendeley":{"formattedCitation":"Ilyas Nasyirudin and Abdul H Al-Kattani, “Pendidikan Tafsir Bagi Santri Di Pesantren Tahfidz,” &lt;i&gt;Tawazun Jurnal Pendidikan Islam&lt;/i&gt; 15, no. 3 (2023): 429, https://doi.org/10.32832/tawazun.v15i3.9134.","plainTextFormattedCitation":"Ilyas Nasyirudin and Abdul H Al-Kattani, “Pendidikan Tafsir Bagi Santri Di Pesantren Tahfidz,” Tawazun Jurnal Pendidikan Islam 15, no. 3 (2023): 429, https://doi.org/10.32832/tawazun.v15i3.9134.","previouslyFormattedCitation":"Ilyas Nasyirudin and Abdul H Al-Kattani, “Pendidikan Tafsir Bagi Santri Di Pesantren Tahfidz,” &lt;i&gt;Tawazun Jurnal Pendidikan Islam&lt;/i&gt; 15, no. 3 (2023): 429, https://doi.org/10.32832/tawazun.v15i3.9134."},"properties":{"noteIndex":49},"schema":"https://github.com/citation-style-language/schema/raw/master/csl-citation.json"}</w:instrText>
      </w:r>
      <w:r w:rsidRPr="00A85C01">
        <w:rPr>
          <w:rFonts w:ascii="Times New Roman" w:hAnsi="Times New Roman" w:cs="Times New Roman"/>
        </w:rPr>
        <w:fldChar w:fldCharType="separate"/>
      </w:r>
      <w:r w:rsidRPr="00A85C01">
        <w:rPr>
          <w:rFonts w:ascii="Times New Roman" w:hAnsi="Times New Roman" w:cs="Times New Roman"/>
          <w:noProof/>
        </w:rPr>
        <w:t xml:space="preserve">Ilyas Nasyirudin and Abdul H Al-Kattani, “Pendidikan Tafsir Bagi Santri Di Pesantren Tahfidz,” </w:t>
      </w:r>
      <w:r w:rsidRPr="00A85C01">
        <w:rPr>
          <w:rFonts w:ascii="Times New Roman" w:hAnsi="Times New Roman" w:cs="Times New Roman"/>
          <w:i/>
          <w:noProof/>
        </w:rPr>
        <w:t>Tawazun Jurnal Pendidikan Islam</w:t>
      </w:r>
      <w:r w:rsidRPr="00A85C01">
        <w:rPr>
          <w:rFonts w:ascii="Times New Roman" w:hAnsi="Times New Roman" w:cs="Times New Roman"/>
          <w:noProof/>
        </w:rPr>
        <w:t xml:space="preserve"> 15, no. 3 (2023): 429, https://doi.org/10.32832/tawazun.v15i3.9134.</w:t>
      </w:r>
      <w:r w:rsidRPr="00A85C01">
        <w:rPr>
          <w:rFonts w:ascii="Times New Roman" w:hAnsi="Times New Roman" w:cs="Times New Roman"/>
        </w:rPr>
        <w:fldChar w:fldCharType="end"/>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672BD3"/>
    <w:multiLevelType w:val="multilevel"/>
    <w:tmpl w:val="DB749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683657"/>
    <w:multiLevelType w:val="multilevel"/>
    <w:tmpl w:val="B9C2B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5E7DB7"/>
    <w:multiLevelType w:val="multilevel"/>
    <w:tmpl w:val="427C23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0DD2540"/>
    <w:multiLevelType w:val="multilevel"/>
    <w:tmpl w:val="786059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14D6C1B"/>
    <w:multiLevelType w:val="multilevel"/>
    <w:tmpl w:val="0F325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8F4127"/>
    <w:multiLevelType w:val="multilevel"/>
    <w:tmpl w:val="4DEE0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E7473CA"/>
    <w:multiLevelType w:val="multilevel"/>
    <w:tmpl w:val="CE587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2037D84"/>
    <w:multiLevelType w:val="multilevel"/>
    <w:tmpl w:val="1BFE6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6FE2901"/>
    <w:multiLevelType w:val="multilevel"/>
    <w:tmpl w:val="7C22A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77F6F9A"/>
    <w:multiLevelType w:val="multilevel"/>
    <w:tmpl w:val="8A4E62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0D7592D"/>
    <w:multiLevelType w:val="multilevel"/>
    <w:tmpl w:val="D1B6B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20D6734"/>
    <w:multiLevelType w:val="multilevel"/>
    <w:tmpl w:val="FE5A88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AB97863"/>
    <w:multiLevelType w:val="multilevel"/>
    <w:tmpl w:val="6E320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2DC4684"/>
    <w:multiLevelType w:val="multilevel"/>
    <w:tmpl w:val="EF5C4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C0E6C53"/>
    <w:multiLevelType w:val="multilevel"/>
    <w:tmpl w:val="FA843B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1B26FAC"/>
    <w:multiLevelType w:val="multilevel"/>
    <w:tmpl w:val="B6D80C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1B42683"/>
    <w:multiLevelType w:val="multilevel"/>
    <w:tmpl w:val="2E48D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31634A1"/>
    <w:multiLevelType w:val="multilevel"/>
    <w:tmpl w:val="9F82D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39009D1"/>
    <w:multiLevelType w:val="multilevel"/>
    <w:tmpl w:val="9C6C60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6A11824"/>
    <w:multiLevelType w:val="multilevel"/>
    <w:tmpl w:val="B0041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7B73E16"/>
    <w:multiLevelType w:val="multilevel"/>
    <w:tmpl w:val="01E02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E330328"/>
    <w:multiLevelType w:val="multilevel"/>
    <w:tmpl w:val="9CEEF8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10B3910"/>
    <w:multiLevelType w:val="multilevel"/>
    <w:tmpl w:val="9272C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A410CF8"/>
    <w:multiLevelType w:val="multilevel"/>
    <w:tmpl w:val="6A68B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AFB77DE"/>
    <w:multiLevelType w:val="multilevel"/>
    <w:tmpl w:val="BE5C8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C717B6C"/>
    <w:multiLevelType w:val="multilevel"/>
    <w:tmpl w:val="5BEE352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CFA0C9F"/>
    <w:multiLevelType w:val="hybridMultilevel"/>
    <w:tmpl w:val="740C79C0"/>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7" w15:restartNumberingAfterBreak="0">
    <w:nsid w:val="6FEB4A78"/>
    <w:multiLevelType w:val="multilevel"/>
    <w:tmpl w:val="335A6C9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1BD38C0"/>
    <w:multiLevelType w:val="multilevel"/>
    <w:tmpl w:val="D5081F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4DB58B7"/>
    <w:multiLevelType w:val="multilevel"/>
    <w:tmpl w:val="569C3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9EB0E44"/>
    <w:multiLevelType w:val="multilevel"/>
    <w:tmpl w:val="CDC8E9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75403204">
    <w:abstractNumId w:val="3"/>
  </w:num>
  <w:num w:numId="2" w16cid:durableId="701708894">
    <w:abstractNumId w:val="2"/>
  </w:num>
  <w:num w:numId="3" w16cid:durableId="1182668262">
    <w:abstractNumId w:val="29"/>
  </w:num>
  <w:num w:numId="4" w16cid:durableId="286278013">
    <w:abstractNumId w:val="21"/>
  </w:num>
  <w:num w:numId="5" w16cid:durableId="811485492">
    <w:abstractNumId w:val="9"/>
  </w:num>
  <w:num w:numId="6" w16cid:durableId="407702012">
    <w:abstractNumId w:val="8"/>
  </w:num>
  <w:num w:numId="7" w16cid:durableId="749692938">
    <w:abstractNumId w:val="13"/>
  </w:num>
  <w:num w:numId="8" w16cid:durableId="1678579888">
    <w:abstractNumId w:val="6"/>
  </w:num>
  <w:num w:numId="9" w16cid:durableId="160901471">
    <w:abstractNumId w:val="12"/>
  </w:num>
  <w:num w:numId="10" w16cid:durableId="248661485">
    <w:abstractNumId w:val="23"/>
  </w:num>
  <w:num w:numId="11" w16cid:durableId="1371805579">
    <w:abstractNumId w:val="19"/>
  </w:num>
  <w:num w:numId="12" w16cid:durableId="810905138">
    <w:abstractNumId w:val="15"/>
  </w:num>
  <w:num w:numId="13" w16cid:durableId="1482652495">
    <w:abstractNumId w:val="1"/>
  </w:num>
  <w:num w:numId="14" w16cid:durableId="1049719720">
    <w:abstractNumId w:val="20"/>
  </w:num>
  <w:num w:numId="15" w16cid:durableId="606305837">
    <w:abstractNumId w:val="14"/>
  </w:num>
  <w:num w:numId="16" w16cid:durableId="1983197864">
    <w:abstractNumId w:val="17"/>
  </w:num>
  <w:num w:numId="17" w16cid:durableId="528105815">
    <w:abstractNumId w:val="5"/>
  </w:num>
  <w:num w:numId="18" w16cid:durableId="545483311">
    <w:abstractNumId w:val="24"/>
  </w:num>
  <w:num w:numId="19" w16cid:durableId="1828089424">
    <w:abstractNumId w:val="16"/>
  </w:num>
  <w:num w:numId="20" w16cid:durableId="1763187630">
    <w:abstractNumId w:val="10"/>
  </w:num>
  <w:num w:numId="21" w16cid:durableId="43213924">
    <w:abstractNumId w:val="0"/>
  </w:num>
  <w:num w:numId="22" w16cid:durableId="1680162321">
    <w:abstractNumId w:val="7"/>
  </w:num>
  <w:num w:numId="23" w16cid:durableId="1608345099">
    <w:abstractNumId w:val="22"/>
  </w:num>
  <w:num w:numId="24" w16cid:durableId="547500237">
    <w:abstractNumId w:val="4"/>
  </w:num>
  <w:num w:numId="25" w16cid:durableId="656416797">
    <w:abstractNumId w:val="18"/>
  </w:num>
  <w:num w:numId="26" w16cid:durableId="772824703">
    <w:abstractNumId w:val="27"/>
  </w:num>
  <w:num w:numId="27" w16cid:durableId="160582713">
    <w:abstractNumId w:val="30"/>
  </w:num>
  <w:num w:numId="28" w16cid:durableId="1447655267">
    <w:abstractNumId w:val="28"/>
  </w:num>
  <w:num w:numId="29" w16cid:durableId="2023975440">
    <w:abstractNumId w:val="25"/>
  </w:num>
  <w:num w:numId="30" w16cid:durableId="2511371">
    <w:abstractNumId w:val="11"/>
  </w:num>
  <w:num w:numId="31" w16cid:durableId="1375498755">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1FD3"/>
    <w:rsid w:val="00020A6F"/>
    <w:rsid w:val="0002646D"/>
    <w:rsid w:val="00043A6B"/>
    <w:rsid w:val="00145ACF"/>
    <w:rsid w:val="00190773"/>
    <w:rsid w:val="00196112"/>
    <w:rsid w:val="001A4509"/>
    <w:rsid w:val="002F75D7"/>
    <w:rsid w:val="003642C6"/>
    <w:rsid w:val="003A1E7B"/>
    <w:rsid w:val="004053B4"/>
    <w:rsid w:val="004560CD"/>
    <w:rsid w:val="004C38E5"/>
    <w:rsid w:val="005048D0"/>
    <w:rsid w:val="00521260"/>
    <w:rsid w:val="005E555D"/>
    <w:rsid w:val="00691E36"/>
    <w:rsid w:val="008121FA"/>
    <w:rsid w:val="00843E84"/>
    <w:rsid w:val="0087710D"/>
    <w:rsid w:val="009629CA"/>
    <w:rsid w:val="00A21239"/>
    <w:rsid w:val="00A85C01"/>
    <w:rsid w:val="00B12489"/>
    <w:rsid w:val="00BD0EE8"/>
    <w:rsid w:val="00C228A4"/>
    <w:rsid w:val="00C63F36"/>
    <w:rsid w:val="00CD2F1F"/>
    <w:rsid w:val="00CF284E"/>
    <w:rsid w:val="00D60793"/>
    <w:rsid w:val="00DA113B"/>
    <w:rsid w:val="00DD7DA5"/>
    <w:rsid w:val="00DF7A80"/>
    <w:rsid w:val="00E10E51"/>
    <w:rsid w:val="00E41FD3"/>
    <w:rsid w:val="00FF1702"/>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048769"/>
  <w15:chartTrackingRefBased/>
  <w15:docId w15:val="{C9B9B9E6-01CC-48AA-99B8-F655DC88DA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41FD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41FD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41FD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41FD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41FD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41FD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41FD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41FD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41FD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41FD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41FD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41FD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41FD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41FD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41FD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41FD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41FD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41FD3"/>
    <w:rPr>
      <w:rFonts w:eastAsiaTheme="majorEastAsia" w:cstheme="majorBidi"/>
      <w:color w:val="272727" w:themeColor="text1" w:themeTint="D8"/>
    </w:rPr>
  </w:style>
  <w:style w:type="paragraph" w:styleId="Title">
    <w:name w:val="Title"/>
    <w:basedOn w:val="Normal"/>
    <w:next w:val="Normal"/>
    <w:link w:val="TitleChar"/>
    <w:uiPriority w:val="10"/>
    <w:qFormat/>
    <w:rsid w:val="00E41FD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41FD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41FD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41FD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41FD3"/>
    <w:pPr>
      <w:spacing w:before="160"/>
      <w:jc w:val="center"/>
    </w:pPr>
    <w:rPr>
      <w:i/>
      <w:iCs/>
      <w:color w:val="404040" w:themeColor="text1" w:themeTint="BF"/>
    </w:rPr>
  </w:style>
  <w:style w:type="character" w:customStyle="1" w:styleId="QuoteChar">
    <w:name w:val="Quote Char"/>
    <w:basedOn w:val="DefaultParagraphFont"/>
    <w:link w:val="Quote"/>
    <w:uiPriority w:val="29"/>
    <w:rsid w:val="00E41FD3"/>
    <w:rPr>
      <w:i/>
      <w:iCs/>
      <w:color w:val="404040" w:themeColor="text1" w:themeTint="BF"/>
    </w:rPr>
  </w:style>
  <w:style w:type="paragraph" w:styleId="ListParagraph">
    <w:name w:val="List Paragraph"/>
    <w:basedOn w:val="Normal"/>
    <w:uiPriority w:val="34"/>
    <w:qFormat/>
    <w:rsid w:val="00E41FD3"/>
    <w:pPr>
      <w:ind w:left="720"/>
      <w:contextualSpacing/>
    </w:pPr>
  </w:style>
  <w:style w:type="character" w:styleId="IntenseEmphasis">
    <w:name w:val="Intense Emphasis"/>
    <w:basedOn w:val="DefaultParagraphFont"/>
    <w:uiPriority w:val="21"/>
    <w:qFormat/>
    <w:rsid w:val="00E41FD3"/>
    <w:rPr>
      <w:i/>
      <w:iCs/>
      <w:color w:val="2F5496" w:themeColor="accent1" w:themeShade="BF"/>
    </w:rPr>
  </w:style>
  <w:style w:type="paragraph" w:styleId="IntenseQuote">
    <w:name w:val="Intense Quote"/>
    <w:basedOn w:val="Normal"/>
    <w:next w:val="Normal"/>
    <w:link w:val="IntenseQuoteChar"/>
    <w:uiPriority w:val="30"/>
    <w:qFormat/>
    <w:rsid w:val="00E41FD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41FD3"/>
    <w:rPr>
      <w:i/>
      <w:iCs/>
      <w:color w:val="2F5496" w:themeColor="accent1" w:themeShade="BF"/>
    </w:rPr>
  </w:style>
  <w:style w:type="character" w:styleId="IntenseReference">
    <w:name w:val="Intense Reference"/>
    <w:basedOn w:val="DefaultParagraphFont"/>
    <w:uiPriority w:val="32"/>
    <w:qFormat/>
    <w:rsid w:val="00E41FD3"/>
    <w:rPr>
      <w:b/>
      <w:bCs/>
      <w:smallCaps/>
      <w:color w:val="2F5496" w:themeColor="accent1" w:themeShade="BF"/>
      <w:spacing w:val="5"/>
    </w:rPr>
  </w:style>
  <w:style w:type="paragraph" w:styleId="FootnoteText">
    <w:name w:val="footnote text"/>
    <w:basedOn w:val="Normal"/>
    <w:link w:val="FootnoteTextChar"/>
    <w:uiPriority w:val="99"/>
    <w:semiHidden/>
    <w:unhideWhenUsed/>
    <w:rsid w:val="00145AC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45ACF"/>
    <w:rPr>
      <w:sz w:val="20"/>
      <w:szCs w:val="20"/>
    </w:rPr>
  </w:style>
  <w:style w:type="character" w:styleId="FootnoteReference">
    <w:name w:val="footnote reference"/>
    <w:basedOn w:val="DefaultParagraphFont"/>
    <w:uiPriority w:val="99"/>
    <w:semiHidden/>
    <w:unhideWhenUsed/>
    <w:rsid w:val="00145ACF"/>
    <w:rPr>
      <w:vertAlign w:val="superscript"/>
    </w:rPr>
  </w:style>
  <w:style w:type="character" w:styleId="Hyperlink">
    <w:name w:val="Hyperlink"/>
    <w:basedOn w:val="DefaultParagraphFont"/>
    <w:uiPriority w:val="99"/>
    <w:unhideWhenUsed/>
    <w:rsid w:val="00E10E51"/>
    <w:rPr>
      <w:color w:val="0563C1" w:themeColor="hyperlink"/>
      <w:u w:val="single"/>
    </w:rPr>
  </w:style>
  <w:style w:type="character" w:styleId="UnresolvedMention">
    <w:name w:val="Unresolved Mention"/>
    <w:basedOn w:val="DefaultParagraphFont"/>
    <w:uiPriority w:val="99"/>
    <w:semiHidden/>
    <w:unhideWhenUsed/>
    <w:rsid w:val="00E10E5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111829">
      <w:bodyDiv w:val="1"/>
      <w:marLeft w:val="0"/>
      <w:marRight w:val="0"/>
      <w:marTop w:val="0"/>
      <w:marBottom w:val="0"/>
      <w:divBdr>
        <w:top w:val="none" w:sz="0" w:space="0" w:color="auto"/>
        <w:left w:val="none" w:sz="0" w:space="0" w:color="auto"/>
        <w:bottom w:val="none" w:sz="0" w:space="0" w:color="auto"/>
        <w:right w:val="none" w:sz="0" w:space="0" w:color="auto"/>
      </w:divBdr>
    </w:div>
    <w:div w:id="164634484">
      <w:bodyDiv w:val="1"/>
      <w:marLeft w:val="0"/>
      <w:marRight w:val="0"/>
      <w:marTop w:val="0"/>
      <w:marBottom w:val="0"/>
      <w:divBdr>
        <w:top w:val="none" w:sz="0" w:space="0" w:color="auto"/>
        <w:left w:val="none" w:sz="0" w:space="0" w:color="auto"/>
        <w:bottom w:val="none" w:sz="0" w:space="0" w:color="auto"/>
        <w:right w:val="none" w:sz="0" w:space="0" w:color="auto"/>
      </w:divBdr>
    </w:div>
    <w:div w:id="329606126">
      <w:bodyDiv w:val="1"/>
      <w:marLeft w:val="0"/>
      <w:marRight w:val="0"/>
      <w:marTop w:val="0"/>
      <w:marBottom w:val="0"/>
      <w:divBdr>
        <w:top w:val="none" w:sz="0" w:space="0" w:color="auto"/>
        <w:left w:val="none" w:sz="0" w:space="0" w:color="auto"/>
        <w:bottom w:val="none" w:sz="0" w:space="0" w:color="auto"/>
        <w:right w:val="none" w:sz="0" w:space="0" w:color="auto"/>
      </w:divBdr>
    </w:div>
    <w:div w:id="681322335">
      <w:bodyDiv w:val="1"/>
      <w:marLeft w:val="0"/>
      <w:marRight w:val="0"/>
      <w:marTop w:val="0"/>
      <w:marBottom w:val="0"/>
      <w:divBdr>
        <w:top w:val="none" w:sz="0" w:space="0" w:color="auto"/>
        <w:left w:val="none" w:sz="0" w:space="0" w:color="auto"/>
        <w:bottom w:val="none" w:sz="0" w:space="0" w:color="auto"/>
        <w:right w:val="none" w:sz="0" w:space="0" w:color="auto"/>
      </w:divBdr>
    </w:div>
    <w:div w:id="855967016">
      <w:bodyDiv w:val="1"/>
      <w:marLeft w:val="0"/>
      <w:marRight w:val="0"/>
      <w:marTop w:val="0"/>
      <w:marBottom w:val="0"/>
      <w:divBdr>
        <w:top w:val="none" w:sz="0" w:space="0" w:color="auto"/>
        <w:left w:val="none" w:sz="0" w:space="0" w:color="auto"/>
        <w:bottom w:val="none" w:sz="0" w:space="0" w:color="auto"/>
        <w:right w:val="none" w:sz="0" w:space="0" w:color="auto"/>
      </w:divBdr>
    </w:div>
    <w:div w:id="956329104">
      <w:bodyDiv w:val="1"/>
      <w:marLeft w:val="0"/>
      <w:marRight w:val="0"/>
      <w:marTop w:val="0"/>
      <w:marBottom w:val="0"/>
      <w:divBdr>
        <w:top w:val="none" w:sz="0" w:space="0" w:color="auto"/>
        <w:left w:val="none" w:sz="0" w:space="0" w:color="auto"/>
        <w:bottom w:val="none" w:sz="0" w:space="0" w:color="auto"/>
        <w:right w:val="none" w:sz="0" w:space="0" w:color="auto"/>
      </w:divBdr>
    </w:div>
    <w:div w:id="957644638">
      <w:bodyDiv w:val="1"/>
      <w:marLeft w:val="0"/>
      <w:marRight w:val="0"/>
      <w:marTop w:val="0"/>
      <w:marBottom w:val="0"/>
      <w:divBdr>
        <w:top w:val="none" w:sz="0" w:space="0" w:color="auto"/>
        <w:left w:val="none" w:sz="0" w:space="0" w:color="auto"/>
        <w:bottom w:val="none" w:sz="0" w:space="0" w:color="auto"/>
        <w:right w:val="none" w:sz="0" w:space="0" w:color="auto"/>
      </w:divBdr>
    </w:div>
    <w:div w:id="1006056924">
      <w:bodyDiv w:val="1"/>
      <w:marLeft w:val="0"/>
      <w:marRight w:val="0"/>
      <w:marTop w:val="0"/>
      <w:marBottom w:val="0"/>
      <w:divBdr>
        <w:top w:val="none" w:sz="0" w:space="0" w:color="auto"/>
        <w:left w:val="none" w:sz="0" w:space="0" w:color="auto"/>
        <w:bottom w:val="none" w:sz="0" w:space="0" w:color="auto"/>
        <w:right w:val="none" w:sz="0" w:space="0" w:color="auto"/>
      </w:divBdr>
    </w:div>
    <w:div w:id="1020277826">
      <w:bodyDiv w:val="1"/>
      <w:marLeft w:val="0"/>
      <w:marRight w:val="0"/>
      <w:marTop w:val="0"/>
      <w:marBottom w:val="0"/>
      <w:divBdr>
        <w:top w:val="none" w:sz="0" w:space="0" w:color="auto"/>
        <w:left w:val="none" w:sz="0" w:space="0" w:color="auto"/>
        <w:bottom w:val="none" w:sz="0" w:space="0" w:color="auto"/>
        <w:right w:val="none" w:sz="0" w:space="0" w:color="auto"/>
      </w:divBdr>
    </w:div>
    <w:div w:id="1121344566">
      <w:bodyDiv w:val="1"/>
      <w:marLeft w:val="0"/>
      <w:marRight w:val="0"/>
      <w:marTop w:val="0"/>
      <w:marBottom w:val="0"/>
      <w:divBdr>
        <w:top w:val="none" w:sz="0" w:space="0" w:color="auto"/>
        <w:left w:val="none" w:sz="0" w:space="0" w:color="auto"/>
        <w:bottom w:val="none" w:sz="0" w:space="0" w:color="auto"/>
        <w:right w:val="none" w:sz="0" w:space="0" w:color="auto"/>
      </w:divBdr>
    </w:div>
    <w:div w:id="1181359543">
      <w:bodyDiv w:val="1"/>
      <w:marLeft w:val="0"/>
      <w:marRight w:val="0"/>
      <w:marTop w:val="0"/>
      <w:marBottom w:val="0"/>
      <w:divBdr>
        <w:top w:val="none" w:sz="0" w:space="0" w:color="auto"/>
        <w:left w:val="none" w:sz="0" w:space="0" w:color="auto"/>
        <w:bottom w:val="none" w:sz="0" w:space="0" w:color="auto"/>
        <w:right w:val="none" w:sz="0" w:space="0" w:color="auto"/>
      </w:divBdr>
    </w:div>
    <w:div w:id="1227565048">
      <w:bodyDiv w:val="1"/>
      <w:marLeft w:val="0"/>
      <w:marRight w:val="0"/>
      <w:marTop w:val="0"/>
      <w:marBottom w:val="0"/>
      <w:divBdr>
        <w:top w:val="none" w:sz="0" w:space="0" w:color="auto"/>
        <w:left w:val="none" w:sz="0" w:space="0" w:color="auto"/>
        <w:bottom w:val="none" w:sz="0" w:space="0" w:color="auto"/>
        <w:right w:val="none" w:sz="0" w:space="0" w:color="auto"/>
      </w:divBdr>
    </w:div>
    <w:div w:id="1238780909">
      <w:bodyDiv w:val="1"/>
      <w:marLeft w:val="0"/>
      <w:marRight w:val="0"/>
      <w:marTop w:val="0"/>
      <w:marBottom w:val="0"/>
      <w:divBdr>
        <w:top w:val="none" w:sz="0" w:space="0" w:color="auto"/>
        <w:left w:val="none" w:sz="0" w:space="0" w:color="auto"/>
        <w:bottom w:val="none" w:sz="0" w:space="0" w:color="auto"/>
        <w:right w:val="none" w:sz="0" w:space="0" w:color="auto"/>
      </w:divBdr>
    </w:div>
    <w:div w:id="1280911734">
      <w:bodyDiv w:val="1"/>
      <w:marLeft w:val="0"/>
      <w:marRight w:val="0"/>
      <w:marTop w:val="0"/>
      <w:marBottom w:val="0"/>
      <w:divBdr>
        <w:top w:val="none" w:sz="0" w:space="0" w:color="auto"/>
        <w:left w:val="none" w:sz="0" w:space="0" w:color="auto"/>
        <w:bottom w:val="none" w:sz="0" w:space="0" w:color="auto"/>
        <w:right w:val="none" w:sz="0" w:space="0" w:color="auto"/>
      </w:divBdr>
    </w:div>
    <w:div w:id="1349256109">
      <w:bodyDiv w:val="1"/>
      <w:marLeft w:val="0"/>
      <w:marRight w:val="0"/>
      <w:marTop w:val="0"/>
      <w:marBottom w:val="0"/>
      <w:divBdr>
        <w:top w:val="none" w:sz="0" w:space="0" w:color="auto"/>
        <w:left w:val="none" w:sz="0" w:space="0" w:color="auto"/>
        <w:bottom w:val="none" w:sz="0" w:space="0" w:color="auto"/>
        <w:right w:val="none" w:sz="0" w:space="0" w:color="auto"/>
      </w:divBdr>
    </w:div>
    <w:div w:id="1371296044">
      <w:bodyDiv w:val="1"/>
      <w:marLeft w:val="0"/>
      <w:marRight w:val="0"/>
      <w:marTop w:val="0"/>
      <w:marBottom w:val="0"/>
      <w:divBdr>
        <w:top w:val="none" w:sz="0" w:space="0" w:color="auto"/>
        <w:left w:val="none" w:sz="0" w:space="0" w:color="auto"/>
        <w:bottom w:val="none" w:sz="0" w:space="0" w:color="auto"/>
        <w:right w:val="none" w:sz="0" w:space="0" w:color="auto"/>
      </w:divBdr>
    </w:div>
    <w:div w:id="1410229986">
      <w:bodyDiv w:val="1"/>
      <w:marLeft w:val="0"/>
      <w:marRight w:val="0"/>
      <w:marTop w:val="0"/>
      <w:marBottom w:val="0"/>
      <w:divBdr>
        <w:top w:val="none" w:sz="0" w:space="0" w:color="auto"/>
        <w:left w:val="none" w:sz="0" w:space="0" w:color="auto"/>
        <w:bottom w:val="none" w:sz="0" w:space="0" w:color="auto"/>
        <w:right w:val="none" w:sz="0" w:space="0" w:color="auto"/>
      </w:divBdr>
    </w:div>
    <w:div w:id="1476097533">
      <w:bodyDiv w:val="1"/>
      <w:marLeft w:val="0"/>
      <w:marRight w:val="0"/>
      <w:marTop w:val="0"/>
      <w:marBottom w:val="0"/>
      <w:divBdr>
        <w:top w:val="none" w:sz="0" w:space="0" w:color="auto"/>
        <w:left w:val="none" w:sz="0" w:space="0" w:color="auto"/>
        <w:bottom w:val="none" w:sz="0" w:space="0" w:color="auto"/>
        <w:right w:val="none" w:sz="0" w:space="0" w:color="auto"/>
      </w:divBdr>
    </w:div>
    <w:div w:id="1586525273">
      <w:bodyDiv w:val="1"/>
      <w:marLeft w:val="0"/>
      <w:marRight w:val="0"/>
      <w:marTop w:val="0"/>
      <w:marBottom w:val="0"/>
      <w:divBdr>
        <w:top w:val="none" w:sz="0" w:space="0" w:color="auto"/>
        <w:left w:val="none" w:sz="0" w:space="0" w:color="auto"/>
        <w:bottom w:val="none" w:sz="0" w:space="0" w:color="auto"/>
        <w:right w:val="none" w:sz="0" w:space="0" w:color="auto"/>
      </w:divBdr>
    </w:div>
    <w:div w:id="1628077916">
      <w:bodyDiv w:val="1"/>
      <w:marLeft w:val="0"/>
      <w:marRight w:val="0"/>
      <w:marTop w:val="0"/>
      <w:marBottom w:val="0"/>
      <w:divBdr>
        <w:top w:val="none" w:sz="0" w:space="0" w:color="auto"/>
        <w:left w:val="none" w:sz="0" w:space="0" w:color="auto"/>
        <w:bottom w:val="none" w:sz="0" w:space="0" w:color="auto"/>
        <w:right w:val="none" w:sz="0" w:space="0" w:color="auto"/>
      </w:divBdr>
    </w:div>
    <w:div w:id="1648625855">
      <w:bodyDiv w:val="1"/>
      <w:marLeft w:val="0"/>
      <w:marRight w:val="0"/>
      <w:marTop w:val="0"/>
      <w:marBottom w:val="0"/>
      <w:divBdr>
        <w:top w:val="none" w:sz="0" w:space="0" w:color="auto"/>
        <w:left w:val="none" w:sz="0" w:space="0" w:color="auto"/>
        <w:bottom w:val="none" w:sz="0" w:space="0" w:color="auto"/>
        <w:right w:val="none" w:sz="0" w:space="0" w:color="auto"/>
      </w:divBdr>
    </w:div>
    <w:div w:id="1778139970">
      <w:bodyDiv w:val="1"/>
      <w:marLeft w:val="0"/>
      <w:marRight w:val="0"/>
      <w:marTop w:val="0"/>
      <w:marBottom w:val="0"/>
      <w:divBdr>
        <w:top w:val="none" w:sz="0" w:space="0" w:color="auto"/>
        <w:left w:val="none" w:sz="0" w:space="0" w:color="auto"/>
        <w:bottom w:val="none" w:sz="0" w:space="0" w:color="auto"/>
        <w:right w:val="none" w:sz="0" w:space="0" w:color="auto"/>
      </w:divBdr>
    </w:div>
    <w:div w:id="1880824400">
      <w:bodyDiv w:val="1"/>
      <w:marLeft w:val="0"/>
      <w:marRight w:val="0"/>
      <w:marTop w:val="0"/>
      <w:marBottom w:val="0"/>
      <w:divBdr>
        <w:top w:val="none" w:sz="0" w:space="0" w:color="auto"/>
        <w:left w:val="none" w:sz="0" w:space="0" w:color="auto"/>
        <w:bottom w:val="none" w:sz="0" w:space="0" w:color="auto"/>
        <w:right w:val="none" w:sz="0" w:space="0" w:color="auto"/>
      </w:divBdr>
    </w:div>
    <w:div w:id="1922249874">
      <w:bodyDiv w:val="1"/>
      <w:marLeft w:val="0"/>
      <w:marRight w:val="0"/>
      <w:marTop w:val="0"/>
      <w:marBottom w:val="0"/>
      <w:divBdr>
        <w:top w:val="none" w:sz="0" w:space="0" w:color="auto"/>
        <w:left w:val="none" w:sz="0" w:space="0" w:color="auto"/>
        <w:bottom w:val="none" w:sz="0" w:space="0" w:color="auto"/>
        <w:right w:val="none" w:sz="0" w:space="0" w:color="auto"/>
      </w:divBdr>
    </w:div>
    <w:div w:id="2002153552">
      <w:bodyDiv w:val="1"/>
      <w:marLeft w:val="0"/>
      <w:marRight w:val="0"/>
      <w:marTop w:val="0"/>
      <w:marBottom w:val="0"/>
      <w:divBdr>
        <w:top w:val="none" w:sz="0" w:space="0" w:color="auto"/>
        <w:left w:val="none" w:sz="0" w:space="0" w:color="auto"/>
        <w:bottom w:val="none" w:sz="0" w:space="0" w:color="auto"/>
        <w:right w:val="none" w:sz="0" w:space="0" w:color="auto"/>
      </w:divBdr>
    </w:div>
    <w:div w:id="2027291933">
      <w:bodyDiv w:val="1"/>
      <w:marLeft w:val="0"/>
      <w:marRight w:val="0"/>
      <w:marTop w:val="0"/>
      <w:marBottom w:val="0"/>
      <w:divBdr>
        <w:top w:val="none" w:sz="0" w:space="0" w:color="auto"/>
        <w:left w:val="none" w:sz="0" w:space="0" w:color="auto"/>
        <w:bottom w:val="none" w:sz="0" w:space="0" w:color="auto"/>
        <w:right w:val="none" w:sz="0" w:space="0" w:color="auto"/>
      </w:divBdr>
    </w:div>
    <w:div w:id="2035812502">
      <w:bodyDiv w:val="1"/>
      <w:marLeft w:val="0"/>
      <w:marRight w:val="0"/>
      <w:marTop w:val="0"/>
      <w:marBottom w:val="0"/>
      <w:divBdr>
        <w:top w:val="none" w:sz="0" w:space="0" w:color="auto"/>
        <w:left w:val="none" w:sz="0" w:space="0" w:color="auto"/>
        <w:bottom w:val="none" w:sz="0" w:space="0" w:color="auto"/>
        <w:right w:val="none" w:sz="0" w:space="0" w:color="auto"/>
      </w:divBdr>
    </w:div>
    <w:div w:id="2067797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iqrial778@gmail.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EA70F8-2BA8-48E8-9BB3-1EE32ACE81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165</TotalTime>
  <Pages>15</Pages>
  <Words>6836</Words>
  <Characters>38971</Characters>
  <Application>Microsoft Office Word</Application>
  <DocSecurity>0</DocSecurity>
  <Lines>324</Lines>
  <Paragraphs>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 Fiqri Ardiansyah</dc:creator>
  <cp:keywords/>
  <dc:description/>
  <cp:lastModifiedBy>Al Fiqri Ardiansyah</cp:lastModifiedBy>
  <cp:revision>8</cp:revision>
  <dcterms:created xsi:type="dcterms:W3CDTF">2024-11-18T08:00:00Z</dcterms:created>
  <dcterms:modified xsi:type="dcterms:W3CDTF">2024-11-18T19:49:00Z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6th/7th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http://www.zotero.org/styles/chicago-fullnote-bibliography</vt:lpwstr>
  </property>
  <property fmtid="{D5CDD505-2E9C-101B-9397-08002B2CF9AE}" pid="13" name="Mendeley Recent Style Name 5_1">
    <vt:lpwstr>Chicago Manual of Style 17th edition (full note)</vt:lpwstr>
  </property>
  <property fmtid="{D5CDD505-2E9C-101B-9397-08002B2CF9AE}" pid="14" name="Mendeley Recent Style Id 6_1">
    <vt:lpwstr>http://www.zotero.org/styles/harvard-cite-them-right</vt:lpwstr>
  </property>
  <property fmtid="{D5CDD505-2E9C-101B-9397-08002B2CF9AE}" pid="15" name="Mendeley Recent Style Name 6_1">
    <vt:lpwstr>Cite Them Right 12th edition - Harvard</vt:lpwstr>
  </property>
  <property fmtid="{D5CDD505-2E9C-101B-9397-08002B2CF9AE}" pid="16" name="Mendeley Recent Style Id 7_1">
    <vt:lpwstr>http://www.zotero.org/styles/ieee</vt:lpwstr>
  </property>
  <property fmtid="{D5CDD505-2E9C-101B-9397-08002B2CF9AE}" pid="17" name="Mendeley Recent Style Name 7_1">
    <vt:lpwstr>IEEE</vt:lpwstr>
  </property>
  <property fmtid="{D5CDD505-2E9C-101B-9397-08002B2CF9AE}" pid="18" name="Mendeley Recent Style Id 8_1">
    <vt:lpwstr>http://www.zotero.org/styles/modern-humanities-research-association</vt:lpwstr>
  </property>
  <property fmtid="{D5CDD505-2E9C-101B-9397-08002B2CF9AE}" pid="19" name="Mendeley Recent Style Name 8_1">
    <vt:lpwstr>Modern Humanities Research Association 4th edition (note with bibliography)</vt:lpwstr>
  </property>
  <property fmtid="{D5CDD505-2E9C-101B-9397-08002B2CF9AE}" pid="20" name="Mendeley Recent Style Id 9_1">
    <vt:lpwstr>http://www.zotero.org/styles/modern-language-association</vt:lpwstr>
  </property>
  <property fmtid="{D5CDD505-2E9C-101B-9397-08002B2CF9AE}" pid="21" name="Mendeley Recent Style Name 9_1">
    <vt:lpwstr>Modern Language Association 9th edition</vt:lpwstr>
  </property>
  <property fmtid="{D5CDD505-2E9C-101B-9397-08002B2CF9AE}" pid="22" name="Mendeley Document_1">
    <vt:lpwstr>True</vt:lpwstr>
  </property>
  <property fmtid="{D5CDD505-2E9C-101B-9397-08002B2CF9AE}" pid="23" name="Mendeley Unique User Id_1">
    <vt:lpwstr>833f80e1-86f0-3410-9b3c-8a1f7a09e825</vt:lpwstr>
  </property>
  <property fmtid="{D5CDD505-2E9C-101B-9397-08002B2CF9AE}" pid="24" name="Mendeley Citation Style_1">
    <vt:lpwstr>http://www.zotero.org/styles/chicago-fullnote-bibliography</vt:lpwstr>
  </property>
</Properties>
</file>